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黑体" w:eastAsia="方正小标宋简体"/>
          <w:sz w:val="44"/>
          <w:szCs w:val="44"/>
        </w:rPr>
      </w:pPr>
      <w:bookmarkStart w:id="0" w:name="_Toc278215417"/>
      <w:bookmarkStart w:id="1" w:name="_Toc195890261"/>
      <w:bookmarkStart w:id="2" w:name="_Toc277680846"/>
      <w:r>
        <w:rPr>
          <w:rFonts w:hint="eastAsia" w:ascii="方正小标宋简体" w:hAnsi="黑体" w:eastAsia="方正小标宋简体"/>
          <w:sz w:val="44"/>
          <w:szCs w:val="44"/>
        </w:rPr>
        <w:t>西北农林科技大学2022-2023学年</w:t>
      </w:r>
    </w:p>
    <w:p>
      <w:pPr>
        <w:spacing w:line="7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中国政府奖学金年度评审实施细则</w:t>
      </w:r>
      <w:bookmarkEnd w:id="0"/>
    </w:p>
    <w:p>
      <w:pPr>
        <w:adjustRightInd w:val="0"/>
        <w:snapToGrid w:val="0"/>
        <w:spacing w:line="540" w:lineRule="exact"/>
        <w:ind w:firstLine="640" w:firstLineChars="200"/>
        <w:rPr>
          <w:rFonts w:ascii="仿宋" w:hAnsi="仿宋" w:eastAsia="仿宋" w:cs="宋体"/>
          <w:kern w:val="0"/>
          <w:sz w:val="32"/>
          <w:szCs w:val="32"/>
        </w:rPr>
      </w:pP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为加强对中国政府奖学金的管理，发挥中国政府奖学金的效益和作用，根据《中国</w:t>
      </w:r>
      <w:r>
        <w:rPr>
          <w:rFonts w:ascii="仿宋" w:hAnsi="仿宋" w:eastAsia="仿宋" w:cs="宋体"/>
          <w:kern w:val="0"/>
          <w:sz w:val="32"/>
          <w:szCs w:val="32"/>
        </w:rPr>
        <w:t>政府奖学金工作管理办法</w:t>
      </w:r>
      <w:r>
        <w:rPr>
          <w:rFonts w:hint="eastAsia" w:ascii="仿宋" w:hAnsi="仿宋" w:eastAsia="仿宋" w:cs="宋体"/>
          <w:kern w:val="0"/>
          <w:sz w:val="32"/>
          <w:szCs w:val="32"/>
        </w:rPr>
        <w:t>》（教外厅〔2020〕1号</w:t>
      </w:r>
      <w:r>
        <w:rPr>
          <w:rFonts w:ascii="仿宋" w:hAnsi="仿宋" w:eastAsia="仿宋" w:cs="宋体"/>
          <w:kern w:val="0"/>
          <w:sz w:val="32"/>
          <w:szCs w:val="32"/>
        </w:rPr>
        <w:t>）</w:t>
      </w:r>
      <w:r>
        <w:rPr>
          <w:rFonts w:hint="eastAsia" w:ascii="仿宋" w:hAnsi="仿宋" w:eastAsia="仿宋" w:cs="宋体"/>
          <w:kern w:val="0"/>
          <w:sz w:val="32"/>
          <w:szCs w:val="32"/>
        </w:rPr>
        <w:t>和《关于做好2022-2023学年中国政府奖学金年度评审工作的通知》（留金</w:t>
      </w:r>
      <w:r>
        <w:rPr>
          <w:rFonts w:ascii="仿宋" w:hAnsi="仿宋" w:eastAsia="仿宋" w:cs="宋体"/>
          <w:kern w:val="0"/>
          <w:sz w:val="32"/>
          <w:szCs w:val="32"/>
        </w:rPr>
        <w:t>来管</w:t>
      </w:r>
      <w:r>
        <w:rPr>
          <w:rFonts w:hint="eastAsia" w:ascii="仿宋" w:hAnsi="仿宋" w:eastAsia="仿宋" w:cs="宋体"/>
          <w:kern w:val="0"/>
          <w:sz w:val="32"/>
          <w:szCs w:val="32"/>
        </w:rPr>
        <w:t>〔2022〕15号）有关要求</w:t>
      </w:r>
      <w:r>
        <w:rPr>
          <w:rFonts w:ascii="仿宋" w:hAnsi="仿宋" w:eastAsia="仿宋" w:cs="宋体"/>
          <w:kern w:val="0"/>
          <w:sz w:val="32"/>
          <w:szCs w:val="32"/>
        </w:rPr>
        <w:t>，</w:t>
      </w:r>
      <w:r>
        <w:rPr>
          <w:rFonts w:hint="eastAsia" w:ascii="仿宋" w:hAnsi="仿宋" w:eastAsia="仿宋" w:cs="宋体"/>
          <w:kern w:val="0"/>
          <w:sz w:val="32"/>
          <w:szCs w:val="32"/>
        </w:rPr>
        <w:t>开展中国政府奖学金年度评审工作（以下简称“年度评审”），</w:t>
      </w:r>
      <w:r>
        <w:rPr>
          <w:rFonts w:ascii="仿宋" w:hAnsi="仿宋" w:eastAsia="仿宋" w:cs="宋体"/>
          <w:kern w:val="0"/>
          <w:sz w:val="32"/>
          <w:szCs w:val="32"/>
        </w:rPr>
        <w:t>结合我校</w:t>
      </w:r>
      <w:r>
        <w:rPr>
          <w:rFonts w:hint="eastAsia" w:ascii="仿宋" w:hAnsi="仿宋" w:eastAsia="仿宋" w:cs="宋体"/>
          <w:kern w:val="0"/>
          <w:sz w:val="32"/>
          <w:szCs w:val="32"/>
        </w:rPr>
        <w:t>实际情况</w:t>
      </w:r>
      <w:r>
        <w:rPr>
          <w:rFonts w:ascii="仿宋" w:hAnsi="仿宋" w:eastAsia="仿宋" w:cs="宋体"/>
          <w:kern w:val="0"/>
          <w:sz w:val="32"/>
          <w:szCs w:val="32"/>
        </w:rPr>
        <w:t>，特制定本实施细则。</w:t>
      </w:r>
    </w:p>
    <w:p>
      <w:pPr>
        <w:adjustRightInd w:val="0"/>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第一条  年度评审范围</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w:t>
      </w:r>
      <w:r>
        <w:rPr>
          <w:rFonts w:ascii="仿宋" w:hAnsi="仿宋" w:eastAsia="仿宋" w:cs="宋体"/>
          <w:kern w:val="0"/>
          <w:sz w:val="32"/>
          <w:szCs w:val="32"/>
        </w:rPr>
        <w:t>202</w:t>
      </w:r>
      <w:r>
        <w:rPr>
          <w:rFonts w:hint="eastAsia" w:ascii="仿宋" w:hAnsi="仿宋" w:eastAsia="仿宋" w:cs="宋体"/>
          <w:kern w:val="0"/>
          <w:sz w:val="32"/>
          <w:szCs w:val="32"/>
        </w:rPr>
        <w:t>2</w:t>
      </w:r>
      <w:r>
        <w:rPr>
          <w:rFonts w:ascii="仿宋" w:hAnsi="仿宋" w:eastAsia="仿宋" w:cs="宋体"/>
          <w:kern w:val="0"/>
          <w:sz w:val="32"/>
          <w:szCs w:val="32"/>
        </w:rPr>
        <w:t>年</w:t>
      </w:r>
      <w:r>
        <w:rPr>
          <w:rFonts w:hint="eastAsia" w:ascii="仿宋" w:hAnsi="仿宋" w:eastAsia="仿宋" w:cs="宋体"/>
          <w:kern w:val="0"/>
          <w:sz w:val="32"/>
          <w:szCs w:val="32"/>
        </w:rPr>
        <w:t>9月之后继续享受中国政府奖学金的学生需参评，境外</w:t>
      </w:r>
      <w:r>
        <w:rPr>
          <w:rFonts w:ascii="仿宋" w:hAnsi="仿宋" w:eastAsia="仿宋" w:cs="宋体"/>
          <w:kern w:val="0"/>
          <w:sz w:val="32"/>
          <w:szCs w:val="32"/>
        </w:rPr>
        <w:t>休学学生也需参评</w:t>
      </w:r>
      <w:r>
        <w:rPr>
          <w:rFonts w:hint="eastAsia" w:ascii="仿宋" w:hAnsi="仿宋" w:eastAsia="仿宋" w:cs="宋体"/>
          <w:kern w:val="0"/>
          <w:sz w:val="32"/>
          <w:szCs w:val="32"/>
        </w:rPr>
        <w:t>。</w:t>
      </w:r>
    </w:p>
    <w:p>
      <w:pPr>
        <w:adjustRightInd w:val="0"/>
        <w:snapToGrid w:val="0"/>
        <w:spacing w:line="600" w:lineRule="exact"/>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无法按原计划于</w:t>
      </w:r>
      <w:r>
        <w:rPr>
          <w:rFonts w:ascii="仿宋" w:hAnsi="仿宋" w:eastAsia="仿宋" w:cs="宋体"/>
          <w:kern w:val="0"/>
          <w:sz w:val="32"/>
          <w:szCs w:val="32"/>
        </w:rPr>
        <w:t>202</w:t>
      </w:r>
      <w:r>
        <w:rPr>
          <w:rFonts w:hint="eastAsia" w:ascii="仿宋" w:hAnsi="仿宋" w:eastAsia="仿宋" w:cs="宋体"/>
          <w:kern w:val="0"/>
          <w:sz w:val="32"/>
          <w:szCs w:val="32"/>
        </w:rPr>
        <w:t>2年</w:t>
      </w:r>
      <w:r>
        <w:rPr>
          <w:rFonts w:ascii="仿宋" w:hAnsi="仿宋" w:eastAsia="仿宋" w:cs="宋体"/>
          <w:kern w:val="0"/>
          <w:sz w:val="32"/>
          <w:szCs w:val="32"/>
        </w:rPr>
        <w:t>7</w:t>
      </w:r>
      <w:r>
        <w:rPr>
          <w:rFonts w:hint="eastAsia" w:ascii="仿宋" w:hAnsi="仿宋" w:eastAsia="仿宋" w:cs="宋体"/>
          <w:kern w:val="0"/>
          <w:sz w:val="32"/>
          <w:szCs w:val="32"/>
        </w:rPr>
        <w:t>月毕业拟申请延期的学生需参评。</w:t>
      </w:r>
    </w:p>
    <w:p>
      <w:pPr>
        <w:adjustRightInd w:val="0"/>
        <w:snapToGrid w:val="0"/>
        <w:spacing w:line="600" w:lineRule="exact"/>
        <w:ind w:firstLine="640" w:firstLineChars="200"/>
        <w:rPr>
          <w:rFonts w:ascii="仿宋" w:hAnsi="仿宋" w:eastAsia="仿宋" w:cs="宋体"/>
          <w:kern w:val="0"/>
          <w:sz w:val="32"/>
          <w:szCs w:val="32"/>
        </w:rPr>
      </w:pPr>
      <w:r>
        <w:rPr>
          <w:rFonts w:ascii="仿宋" w:hAnsi="仿宋" w:eastAsia="仿宋" w:cs="宋体"/>
          <w:kern w:val="0"/>
          <w:sz w:val="32"/>
          <w:szCs w:val="32"/>
        </w:rPr>
        <w:t>3.202</w:t>
      </w:r>
      <w:r>
        <w:rPr>
          <w:rFonts w:hint="eastAsia" w:ascii="仿宋" w:hAnsi="仿宋" w:eastAsia="仿宋" w:cs="宋体"/>
          <w:kern w:val="0"/>
          <w:sz w:val="32"/>
          <w:szCs w:val="32"/>
        </w:rPr>
        <w:t>1年</w:t>
      </w:r>
      <w:r>
        <w:rPr>
          <w:rFonts w:ascii="仿宋" w:hAnsi="仿宋" w:eastAsia="仿宋" w:cs="宋体"/>
          <w:kern w:val="0"/>
          <w:sz w:val="32"/>
          <w:szCs w:val="32"/>
        </w:rPr>
        <w:t>奖学金年度评审不合格被中止奖学金资格的学生须参评</w:t>
      </w:r>
      <w:r>
        <w:rPr>
          <w:rFonts w:hint="eastAsia" w:ascii="仿宋" w:hAnsi="仿宋" w:eastAsia="仿宋" w:cs="宋体"/>
          <w:kern w:val="0"/>
          <w:sz w:val="32"/>
          <w:szCs w:val="32"/>
        </w:rPr>
        <w:t>。</w:t>
      </w:r>
    </w:p>
    <w:p>
      <w:pPr>
        <w:adjustRightInd w:val="0"/>
        <w:snapToGrid w:val="0"/>
        <w:spacing w:line="600" w:lineRule="exact"/>
        <w:ind w:firstLine="707" w:firstLineChars="220"/>
        <w:rPr>
          <w:rFonts w:ascii="仿宋" w:hAnsi="仿宋" w:eastAsia="仿宋"/>
          <w:b/>
          <w:sz w:val="32"/>
          <w:szCs w:val="32"/>
        </w:rPr>
      </w:pPr>
      <w:r>
        <w:rPr>
          <w:rFonts w:hint="eastAsia" w:ascii="仿宋" w:hAnsi="仿宋" w:eastAsia="仿宋"/>
          <w:b/>
          <w:sz w:val="32"/>
          <w:szCs w:val="32"/>
        </w:rPr>
        <w:t>第二条  年度评审内容及量化标准</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年度评审内容包括外国留学生的道德品行</w:t>
      </w:r>
      <w:r>
        <w:rPr>
          <w:rFonts w:ascii="仿宋" w:hAnsi="仿宋" w:eastAsia="仿宋" w:cs="宋体"/>
          <w:kern w:val="0"/>
          <w:sz w:val="32"/>
          <w:szCs w:val="32"/>
        </w:rPr>
        <w:t>、学习成绩、学习</w:t>
      </w:r>
      <w:r>
        <w:rPr>
          <w:rFonts w:hint="eastAsia" w:ascii="仿宋" w:hAnsi="仿宋" w:eastAsia="仿宋" w:cs="宋体"/>
          <w:kern w:val="0"/>
          <w:sz w:val="32"/>
          <w:szCs w:val="32"/>
        </w:rPr>
        <w:t>/科研</w:t>
      </w:r>
      <w:r>
        <w:rPr>
          <w:rFonts w:ascii="仿宋" w:hAnsi="仿宋" w:eastAsia="仿宋" w:cs="宋体"/>
          <w:kern w:val="0"/>
          <w:sz w:val="32"/>
          <w:szCs w:val="32"/>
        </w:rPr>
        <w:t>态度、活动表现四个方面内容</w:t>
      </w:r>
      <w:r>
        <w:rPr>
          <w:rFonts w:hint="eastAsia" w:ascii="仿宋" w:hAnsi="仿宋" w:eastAsia="仿宋" w:cs="宋体"/>
          <w:kern w:val="0"/>
          <w:sz w:val="32"/>
          <w:szCs w:val="32"/>
        </w:rPr>
        <w:t>，其中学习成绩包括2</w:t>
      </w:r>
      <w:r>
        <w:rPr>
          <w:rFonts w:ascii="仿宋" w:hAnsi="仿宋" w:eastAsia="仿宋" w:cs="宋体"/>
          <w:kern w:val="0"/>
          <w:sz w:val="32"/>
          <w:szCs w:val="32"/>
        </w:rPr>
        <w:t>02</w:t>
      </w:r>
      <w:r>
        <w:rPr>
          <w:rFonts w:hint="eastAsia" w:ascii="仿宋" w:hAnsi="仿宋" w:eastAsia="仿宋" w:cs="宋体"/>
          <w:kern w:val="0"/>
          <w:sz w:val="32"/>
          <w:szCs w:val="32"/>
        </w:rPr>
        <w:t>1</w:t>
      </w:r>
      <w:r>
        <w:rPr>
          <w:rFonts w:ascii="仿宋" w:hAnsi="仿宋" w:eastAsia="仿宋" w:cs="宋体"/>
          <w:kern w:val="0"/>
          <w:sz w:val="32"/>
          <w:szCs w:val="32"/>
        </w:rPr>
        <w:t>-202</w:t>
      </w:r>
      <w:r>
        <w:rPr>
          <w:rFonts w:hint="eastAsia" w:ascii="仿宋" w:hAnsi="仿宋" w:eastAsia="仿宋" w:cs="宋体"/>
          <w:kern w:val="0"/>
          <w:sz w:val="32"/>
          <w:szCs w:val="32"/>
        </w:rPr>
        <w:t>2学年第一学期的各科考试、考核成绩和第二学期的学习基本情况。</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1.年度评审工作根据外国留学生阶段性主要学习和科研任务，分别按照专业课程学习、科研工作二类学习阶段开展。</w:t>
      </w:r>
    </w:p>
    <w:p>
      <w:pPr>
        <w:adjustRightInd w:val="0"/>
        <w:snapToGrid w:val="0"/>
        <w:spacing w:line="600" w:lineRule="exact"/>
        <w:ind w:firstLine="640" w:firstLineChars="200"/>
        <w:rPr>
          <w:rFonts w:ascii="仿宋" w:hAnsi="仿宋" w:eastAsia="仿宋"/>
          <w:sz w:val="32"/>
          <w:szCs w:val="32"/>
        </w:rPr>
      </w:pPr>
      <w:r>
        <w:rPr>
          <w:rFonts w:ascii="仿宋" w:hAnsi="仿宋" w:eastAsia="仿宋" w:cs="宋体"/>
          <w:kern w:val="0"/>
          <w:sz w:val="32"/>
          <w:szCs w:val="32"/>
        </w:rPr>
        <w:t>2.年度评审</w:t>
      </w:r>
      <w:r>
        <w:rPr>
          <w:rFonts w:hint="eastAsia" w:ascii="仿宋" w:hAnsi="仿宋" w:eastAsia="仿宋" w:cs="宋体"/>
          <w:kern w:val="0"/>
          <w:sz w:val="32"/>
          <w:szCs w:val="32"/>
        </w:rPr>
        <w:t>实行定量打分</w:t>
      </w:r>
      <w:r>
        <w:rPr>
          <w:rFonts w:ascii="仿宋" w:hAnsi="仿宋" w:eastAsia="仿宋" w:cs="宋体"/>
          <w:kern w:val="0"/>
          <w:sz w:val="32"/>
          <w:szCs w:val="32"/>
        </w:rPr>
        <w:t>和定性评价，总分100分</w:t>
      </w:r>
      <w:r>
        <w:rPr>
          <w:rFonts w:hint="eastAsia" w:ascii="仿宋" w:hAnsi="仿宋" w:eastAsia="仿宋" w:cs="宋体"/>
          <w:kern w:val="0"/>
          <w:sz w:val="32"/>
          <w:szCs w:val="32"/>
        </w:rPr>
        <w:t>，具体内容和分值构成见表1所示。</w:t>
      </w:r>
    </w:p>
    <w:p>
      <w:pPr>
        <w:adjustRightInd w:val="0"/>
        <w:snapToGrid w:val="0"/>
        <w:spacing w:line="480" w:lineRule="exact"/>
        <w:jc w:val="center"/>
        <w:rPr>
          <w:rFonts w:ascii="仿宋" w:hAnsi="仿宋" w:eastAsia="仿宋"/>
          <w:b/>
          <w:sz w:val="24"/>
        </w:rPr>
      </w:pPr>
      <w:r>
        <w:rPr>
          <w:rFonts w:hint="eastAsia" w:ascii="仿宋" w:hAnsi="仿宋" w:eastAsia="仿宋"/>
          <w:b/>
          <w:sz w:val="24"/>
        </w:rPr>
        <w:t>表1  年度评审内容及分值</w:t>
      </w:r>
      <w:r>
        <w:rPr>
          <w:rFonts w:ascii="仿宋" w:hAnsi="仿宋" w:eastAsia="仿宋"/>
          <w:b/>
          <w:sz w:val="24"/>
        </w:rPr>
        <w:t>构成</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4567"/>
        <w:gridCol w:w="2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pct"/>
            <w:vAlign w:val="center"/>
          </w:tcPr>
          <w:p>
            <w:pPr>
              <w:adjustRightInd w:val="0"/>
              <w:snapToGrid w:val="0"/>
              <w:jc w:val="center"/>
              <w:rPr>
                <w:rFonts w:eastAsia="仿宋_GB2312"/>
                <w:b/>
                <w:sz w:val="24"/>
              </w:rPr>
            </w:pPr>
            <w:r>
              <w:rPr>
                <w:rFonts w:eastAsia="仿宋_GB2312"/>
                <w:b/>
                <w:sz w:val="24"/>
              </w:rPr>
              <w:t>阶段</w:t>
            </w:r>
          </w:p>
        </w:tc>
        <w:tc>
          <w:tcPr>
            <w:tcW w:w="2535" w:type="pct"/>
            <w:vAlign w:val="center"/>
          </w:tcPr>
          <w:p>
            <w:pPr>
              <w:adjustRightInd w:val="0"/>
              <w:snapToGrid w:val="0"/>
              <w:jc w:val="center"/>
              <w:rPr>
                <w:rFonts w:eastAsia="仿宋_GB2312"/>
                <w:b/>
                <w:sz w:val="24"/>
              </w:rPr>
            </w:pPr>
            <w:r>
              <w:rPr>
                <w:rFonts w:eastAsia="仿宋_GB2312"/>
                <w:b/>
                <w:sz w:val="24"/>
              </w:rPr>
              <w:t>分值构成</w:t>
            </w:r>
          </w:p>
        </w:tc>
        <w:tc>
          <w:tcPr>
            <w:tcW w:w="1553" w:type="pct"/>
            <w:vAlign w:val="center"/>
          </w:tcPr>
          <w:p>
            <w:pPr>
              <w:adjustRightInd w:val="0"/>
              <w:snapToGrid w:val="0"/>
              <w:jc w:val="center"/>
              <w:rPr>
                <w:rFonts w:eastAsia="仿宋_GB2312"/>
                <w:b/>
                <w:sz w:val="24"/>
              </w:rPr>
            </w:pPr>
            <w:r>
              <w:rPr>
                <w:rFonts w:eastAsia="仿宋_GB2312"/>
                <w:b/>
                <w:sz w:val="24"/>
              </w:rPr>
              <w:t>评定部门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pct"/>
            <w:vMerge w:val="restart"/>
            <w:vAlign w:val="center"/>
          </w:tcPr>
          <w:p>
            <w:pPr>
              <w:adjustRightInd w:val="0"/>
              <w:snapToGrid w:val="0"/>
              <w:jc w:val="center"/>
              <w:rPr>
                <w:rFonts w:eastAsia="仿宋_GB2312"/>
                <w:sz w:val="24"/>
              </w:rPr>
            </w:pPr>
            <w:bookmarkStart w:id="3" w:name="_Hlk71327914"/>
            <w:r>
              <w:rPr>
                <w:rFonts w:eastAsia="仿宋_GB2312"/>
                <w:sz w:val="24"/>
              </w:rPr>
              <w:t>专业课程</w:t>
            </w:r>
          </w:p>
          <w:p>
            <w:pPr>
              <w:adjustRightInd w:val="0"/>
              <w:snapToGrid w:val="0"/>
              <w:jc w:val="center"/>
              <w:rPr>
                <w:rFonts w:eastAsia="仿宋_GB2312"/>
                <w:sz w:val="24"/>
              </w:rPr>
            </w:pPr>
            <w:r>
              <w:rPr>
                <w:rFonts w:eastAsia="仿宋_GB2312"/>
                <w:sz w:val="24"/>
              </w:rPr>
              <w:t>学习</w:t>
            </w:r>
          </w:p>
        </w:tc>
        <w:tc>
          <w:tcPr>
            <w:tcW w:w="2535" w:type="pct"/>
            <w:vAlign w:val="center"/>
          </w:tcPr>
          <w:p>
            <w:pPr>
              <w:adjustRightInd w:val="0"/>
              <w:snapToGrid w:val="0"/>
              <w:jc w:val="center"/>
              <w:rPr>
                <w:rFonts w:eastAsia="仿宋_GB2312"/>
                <w:sz w:val="24"/>
              </w:rPr>
            </w:pPr>
            <w:r>
              <w:rPr>
                <w:rFonts w:eastAsia="仿宋_GB2312"/>
                <w:sz w:val="24"/>
              </w:rPr>
              <w:t>道德品行（</w:t>
            </w:r>
            <w:r>
              <w:rPr>
                <w:rFonts w:hint="eastAsia" w:eastAsia="仿宋_GB2312"/>
                <w:sz w:val="24"/>
              </w:rPr>
              <w:t>15</w:t>
            </w:r>
            <w:r>
              <w:rPr>
                <w:rFonts w:eastAsia="仿宋_GB2312"/>
                <w:sz w:val="24"/>
              </w:rPr>
              <w:t>分</w:t>
            </w:r>
            <w:r>
              <w:rPr>
                <w:rFonts w:hint="eastAsia" w:eastAsia="仿宋_GB2312"/>
                <w:sz w:val="24"/>
              </w:rPr>
              <w:t>+15分</w:t>
            </w:r>
            <w:r>
              <w:rPr>
                <w:rFonts w:eastAsia="仿宋_GB2312"/>
                <w:sz w:val="24"/>
              </w:rPr>
              <w:t>）</w:t>
            </w:r>
          </w:p>
        </w:tc>
        <w:tc>
          <w:tcPr>
            <w:tcW w:w="1553" w:type="pct"/>
            <w:vAlign w:val="center"/>
          </w:tcPr>
          <w:p>
            <w:pPr>
              <w:adjustRightInd w:val="0"/>
              <w:snapToGrid w:val="0"/>
              <w:jc w:val="center"/>
              <w:rPr>
                <w:rFonts w:eastAsia="仿宋_GB2312"/>
                <w:sz w:val="24"/>
              </w:rPr>
            </w:pPr>
            <w:r>
              <w:rPr>
                <w:rFonts w:eastAsia="仿宋_GB2312"/>
                <w:sz w:val="24"/>
              </w:rPr>
              <w:t>专业学院</w:t>
            </w:r>
            <w:r>
              <w:rPr>
                <w:rFonts w:hint="eastAsia" w:eastAsia="仿宋_GB2312"/>
                <w:sz w:val="24"/>
              </w:rPr>
              <w:t>+国际学院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pct"/>
            <w:vMerge w:val="continue"/>
            <w:vAlign w:val="center"/>
          </w:tcPr>
          <w:p>
            <w:pPr>
              <w:adjustRightInd w:val="0"/>
              <w:snapToGrid w:val="0"/>
              <w:jc w:val="center"/>
              <w:rPr>
                <w:rFonts w:eastAsia="仿宋_GB2312"/>
                <w:sz w:val="24"/>
              </w:rPr>
            </w:pPr>
          </w:p>
        </w:tc>
        <w:tc>
          <w:tcPr>
            <w:tcW w:w="2535" w:type="pct"/>
            <w:vAlign w:val="center"/>
          </w:tcPr>
          <w:p>
            <w:pPr>
              <w:adjustRightInd w:val="0"/>
              <w:snapToGrid w:val="0"/>
              <w:jc w:val="center"/>
              <w:rPr>
                <w:rFonts w:eastAsia="仿宋_GB2312"/>
                <w:sz w:val="24"/>
              </w:rPr>
            </w:pPr>
            <w:r>
              <w:rPr>
                <w:rFonts w:eastAsia="仿宋_GB2312"/>
                <w:sz w:val="24"/>
              </w:rPr>
              <w:t>学习成绩/学习态度（30分）</w:t>
            </w:r>
          </w:p>
        </w:tc>
        <w:tc>
          <w:tcPr>
            <w:tcW w:w="1553" w:type="pct"/>
            <w:vAlign w:val="center"/>
          </w:tcPr>
          <w:p>
            <w:pPr>
              <w:adjustRightInd w:val="0"/>
              <w:snapToGrid w:val="0"/>
              <w:jc w:val="center"/>
              <w:rPr>
                <w:rFonts w:eastAsia="仿宋_GB2312"/>
                <w:sz w:val="24"/>
              </w:rPr>
            </w:pPr>
            <w:r>
              <w:rPr>
                <w:rFonts w:eastAsia="仿宋_GB2312"/>
                <w:sz w:val="24"/>
              </w:rPr>
              <w:t>专业学院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pct"/>
            <w:vMerge w:val="continue"/>
            <w:vAlign w:val="center"/>
          </w:tcPr>
          <w:p>
            <w:pPr>
              <w:adjustRightInd w:val="0"/>
              <w:snapToGrid w:val="0"/>
              <w:jc w:val="center"/>
              <w:rPr>
                <w:rFonts w:eastAsia="仿宋_GB2312"/>
                <w:sz w:val="24"/>
              </w:rPr>
            </w:pPr>
          </w:p>
        </w:tc>
        <w:tc>
          <w:tcPr>
            <w:tcW w:w="2535" w:type="pct"/>
            <w:vAlign w:val="center"/>
          </w:tcPr>
          <w:p>
            <w:pPr>
              <w:adjustRightInd w:val="0"/>
              <w:snapToGrid w:val="0"/>
              <w:jc w:val="center"/>
              <w:rPr>
                <w:rFonts w:eastAsia="仿宋_GB2312"/>
                <w:sz w:val="24"/>
              </w:rPr>
            </w:pPr>
            <w:r>
              <w:rPr>
                <w:rFonts w:eastAsia="仿宋_GB2312"/>
                <w:sz w:val="24"/>
              </w:rPr>
              <w:t>科研成果/科研态度（20分）</w:t>
            </w:r>
          </w:p>
        </w:tc>
        <w:tc>
          <w:tcPr>
            <w:tcW w:w="1553" w:type="pct"/>
            <w:vAlign w:val="center"/>
          </w:tcPr>
          <w:p>
            <w:pPr>
              <w:adjustRightInd w:val="0"/>
              <w:snapToGrid w:val="0"/>
              <w:jc w:val="center"/>
              <w:rPr>
                <w:rFonts w:eastAsia="仿宋_GB2312"/>
                <w:sz w:val="24"/>
              </w:rPr>
            </w:pPr>
            <w:r>
              <w:rPr>
                <w:rFonts w:eastAsia="仿宋_GB2312"/>
                <w:sz w:val="24"/>
              </w:rPr>
              <w:t>专业学院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pct"/>
            <w:vMerge w:val="continue"/>
            <w:vAlign w:val="center"/>
          </w:tcPr>
          <w:p>
            <w:pPr>
              <w:adjustRightInd w:val="0"/>
              <w:snapToGrid w:val="0"/>
              <w:jc w:val="center"/>
              <w:rPr>
                <w:rFonts w:eastAsia="仿宋_GB2312"/>
                <w:sz w:val="24"/>
              </w:rPr>
            </w:pPr>
          </w:p>
        </w:tc>
        <w:tc>
          <w:tcPr>
            <w:tcW w:w="2535" w:type="pct"/>
            <w:vAlign w:val="center"/>
          </w:tcPr>
          <w:p>
            <w:pPr>
              <w:adjustRightInd w:val="0"/>
              <w:snapToGrid w:val="0"/>
              <w:jc w:val="center"/>
              <w:rPr>
                <w:rFonts w:eastAsia="仿宋_GB2312"/>
                <w:sz w:val="24"/>
              </w:rPr>
            </w:pPr>
            <w:r>
              <w:rPr>
                <w:rFonts w:eastAsia="仿宋_GB2312"/>
                <w:sz w:val="24"/>
              </w:rPr>
              <w:t>活动表现（20分）</w:t>
            </w:r>
          </w:p>
        </w:tc>
        <w:tc>
          <w:tcPr>
            <w:tcW w:w="1553" w:type="pct"/>
            <w:vAlign w:val="center"/>
          </w:tcPr>
          <w:p>
            <w:pPr>
              <w:adjustRightInd w:val="0"/>
              <w:snapToGrid w:val="0"/>
              <w:jc w:val="center"/>
              <w:rPr>
                <w:rFonts w:eastAsia="仿宋_GB2312"/>
                <w:sz w:val="24"/>
              </w:rPr>
            </w:pPr>
            <w:r>
              <w:rPr>
                <w:rFonts w:eastAsia="仿宋_GB2312"/>
                <w:sz w:val="24"/>
              </w:rPr>
              <w:t>国际学院</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pct"/>
            <w:vMerge w:val="restart"/>
            <w:vAlign w:val="center"/>
          </w:tcPr>
          <w:p>
            <w:pPr>
              <w:adjustRightInd w:val="0"/>
              <w:snapToGrid w:val="0"/>
              <w:jc w:val="center"/>
              <w:rPr>
                <w:rFonts w:eastAsia="仿宋_GB2312"/>
                <w:sz w:val="24"/>
              </w:rPr>
            </w:pPr>
            <w:r>
              <w:rPr>
                <w:rFonts w:eastAsia="仿宋_GB2312"/>
                <w:sz w:val="24"/>
              </w:rPr>
              <w:t>科研工作</w:t>
            </w:r>
          </w:p>
        </w:tc>
        <w:tc>
          <w:tcPr>
            <w:tcW w:w="2535" w:type="pct"/>
            <w:vAlign w:val="center"/>
          </w:tcPr>
          <w:p>
            <w:pPr>
              <w:adjustRightInd w:val="0"/>
              <w:snapToGrid w:val="0"/>
              <w:jc w:val="center"/>
              <w:rPr>
                <w:rFonts w:eastAsia="仿宋_GB2312"/>
                <w:sz w:val="24"/>
              </w:rPr>
            </w:pPr>
            <w:r>
              <w:rPr>
                <w:rFonts w:eastAsia="仿宋_GB2312"/>
                <w:sz w:val="24"/>
              </w:rPr>
              <w:t>道德品行（</w:t>
            </w:r>
            <w:r>
              <w:rPr>
                <w:rFonts w:hint="eastAsia" w:eastAsia="仿宋_GB2312"/>
                <w:sz w:val="24"/>
              </w:rPr>
              <w:t>15</w:t>
            </w:r>
            <w:r>
              <w:rPr>
                <w:rFonts w:eastAsia="仿宋_GB2312"/>
                <w:sz w:val="24"/>
              </w:rPr>
              <w:t>分</w:t>
            </w:r>
            <w:r>
              <w:rPr>
                <w:rFonts w:hint="eastAsia" w:eastAsia="仿宋_GB2312"/>
                <w:sz w:val="24"/>
              </w:rPr>
              <w:t>+15分</w:t>
            </w:r>
            <w:r>
              <w:rPr>
                <w:rFonts w:eastAsia="仿宋_GB2312"/>
                <w:sz w:val="24"/>
              </w:rPr>
              <w:t>）</w:t>
            </w:r>
          </w:p>
        </w:tc>
        <w:tc>
          <w:tcPr>
            <w:tcW w:w="1553" w:type="pct"/>
            <w:vAlign w:val="center"/>
          </w:tcPr>
          <w:p>
            <w:pPr>
              <w:adjustRightInd w:val="0"/>
              <w:snapToGrid w:val="0"/>
              <w:jc w:val="center"/>
              <w:rPr>
                <w:rFonts w:eastAsia="仿宋_GB2312"/>
                <w:sz w:val="24"/>
              </w:rPr>
            </w:pPr>
            <w:r>
              <w:rPr>
                <w:rFonts w:eastAsia="仿宋_GB2312"/>
                <w:sz w:val="24"/>
              </w:rPr>
              <w:t>专业学院</w:t>
            </w:r>
            <w:r>
              <w:rPr>
                <w:rFonts w:hint="eastAsia" w:eastAsia="仿宋_GB2312"/>
                <w:sz w:val="24"/>
              </w:rPr>
              <w:t>+国际学院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pct"/>
            <w:vMerge w:val="continue"/>
            <w:vAlign w:val="center"/>
          </w:tcPr>
          <w:p>
            <w:pPr>
              <w:adjustRightInd w:val="0"/>
              <w:snapToGrid w:val="0"/>
              <w:jc w:val="center"/>
              <w:rPr>
                <w:rFonts w:eastAsia="仿宋_GB2312"/>
                <w:sz w:val="24"/>
              </w:rPr>
            </w:pPr>
          </w:p>
        </w:tc>
        <w:tc>
          <w:tcPr>
            <w:tcW w:w="2535" w:type="pct"/>
            <w:vAlign w:val="center"/>
          </w:tcPr>
          <w:p>
            <w:pPr>
              <w:adjustRightInd w:val="0"/>
              <w:snapToGrid w:val="0"/>
              <w:jc w:val="center"/>
              <w:rPr>
                <w:rFonts w:eastAsia="仿宋_GB2312"/>
                <w:sz w:val="24"/>
              </w:rPr>
            </w:pPr>
            <w:r>
              <w:rPr>
                <w:rFonts w:eastAsia="仿宋_GB2312"/>
                <w:sz w:val="24"/>
              </w:rPr>
              <w:t>学习成绩/学习态度（30分）</w:t>
            </w:r>
          </w:p>
        </w:tc>
        <w:tc>
          <w:tcPr>
            <w:tcW w:w="1553" w:type="pct"/>
            <w:vAlign w:val="center"/>
          </w:tcPr>
          <w:p>
            <w:pPr>
              <w:adjustRightInd w:val="0"/>
              <w:snapToGrid w:val="0"/>
              <w:jc w:val="center"/>
              <w:rPr>
                <w:rFonts w:eastAsia="仿宋_GB2312"/>
                <w:sz w:val="24"/>
              </w:rPr>
            </w:pPr>
            <w:r>
              <w:rPr>
                <w:rFonts w:eastAsia="仿宋_GB2312"/>
                <w:sz w:val="24"/>
              </w:rPr>
              <w:t>专业学院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pct"/>
            <w:vMerge w:val="continue"/>
          </w:tcPr>
          <w:p>
            <w:pPr>
              <w:adjustRightInd w:val="0"/>
              <w:snapToGrid w:val="0"/>
              <w:rPr>
                <w:rFonts w:eastAsia="仿宋_GB2312"/>
                <w:sz w:val="24"/>
              </w:rPr>
            </w:pPr>
          </w:p>
        </w:tc>
        <w:tc>
          <w:tcPr>
            <w:tcW w:w="2535" w:type="pct"/>
            <w:vAlign w:val="center"/>
          </w:tcPr>
          <w:p>
            <w:pPr>
              <w:adjustRightInd w:val="0"/>
              <w:snapToGrid w:val="0"/>
              <w:jc w:val="center"/>
              <w:rPr>
                <w:rFonts w:eastAsia="仿宋_GB2312"/>
                <w:sz w:val="24"/>
              </w:rPr>
            </w:pPr>
            <w:r>
              <w:rPr>
                <w:rFonts w:eastAsia="仿宋_GB2312"/>
                <w:sz w:val="24"/>
              </w:rPr>
              <w:t>科研成果/科研态度（20分）</w:t>
            </w:r>
          </w:p>
        </w:tc>
        <w:tc>
          <w:tcPr>
            <w:tcW w:w="1553" w:type="pct"/>
            <w:vAlign w:val="center"/>
          </w:tcPr>
          <w:p>
            <w:pPr>
              <w:adjustRightInd w:val="0"/>
              <w:snapToGrid w:val="0"/>
              <w:jc w:val="center"/>
              <w:rPr>
                <w:rFonts w:eastAsia="仿宋_GB2312"/>
                <w:sz w:val="24"/>
              </w:rPr>
            </w:pPr>
            <w:r>
              <w:rPr>
                <w:rFonts w:eastAsia="仿宋_GB2312"/>
                <w:sz w:val="24"/>
              </w:rPr>
              <w:t>专业学院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pct"/>
            <w:vMerge w:val="continue"/>
          </w:tcPr>
          <w:p>
            <w:pPr>
              <w:adjustRightInd w:val="0"/>
              <w:snapToGrid w:val="0"/>
              <w:rPr>
                <w:rFonts w:eastAsia="仿宋_GB2312"/>
                <w:sz w:val="24"/>
              </w:rPr>
            </w:pPr>
          </w:p>
        </w:tc>
        <w:tc>
          <w:tcPr>
            <w:tcW w:w="2535" w:type="pct"/>
            <w:vAlign w:val="center"/>
          </w:tcPr>
          <w:p>
            <w:pPr>
              <w:adjustRightInd w:val="0"/>
              <w:snapToGrid w:val="0"/>
              <w:jc w:val="center"/>
              <w:rPr>
                <w:rFonts w:eastAsia="仿宋_GB2312"/>
                <w:sz w:val="24"/>
              </w:rPr>
            </w:pPr>
            <w:r>
              <w:rPr>
                <w:rFonts w:eastAsia="仿宋_GB2312"/>
                <w:sz w:val="24"/>
              </w:rPr>
              <w:t>活动表现（20分）</w:t>
            </w:r>
          </w:p>
        </w:tc>
        <w:tc>
          <w:tcPr>
            <w:tcW w:w="1553" w:type="pct"/>
            <w:vAlign w:val="center"/>
          </w:tcPr>
          <w:p>
            <w:pPr>
              <w:adjustRightInd w:val="0"/>
              <w:snapToGrid w:val="0"/>
              <w:jc w:val="center"/>
              <w:rPr>
                <w:rFonts w:eastAsia="仿宋_GB2312"/>
                <w:sz w:val="24"/>
              </w:rPr>
            </w:pPr>
            <w:r>
              <w:rPr>
                <w:rFonts w:eastAsia="仿宋_GB2312"/>
                <w:sz w:val="24"/>
              </w:rPr>
              <w:t>国际学院</w:t>
            </w:r>
          </w:p>
        </w:tc>
      </w:tr>
    </w:tbl>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3.国际学院</w:t>
      </w:r>
      <w:r>
        <w:rPr>
          <w:rFonts w:ascii="仿宋" w:hAnsi="仿宋" w:eastAsia="仿宋" w:cs="宋体"/>
          <w:kern w:val="0"/>
          <w:sz w:val="32"/>
          <w:szCs w:val="32"/>
        </w:rPr>
        <w:t>负责</w:t>
      </w:r>
      <w:r>
        <w:rPr>
          <w:rFonts w:hint="eastAsia" w:ascii="仿宋" w:hAnsi="仿宋" w:eastAsia="仿宋" w:cs="宋体"/>
          <w:kern w:val="0"/>
          <w:sz w:val="32"/>
          <w:szCs w:val="32"/>
        </w:rPr>
        <w:t>对</w:t>
      </w:r>
      <w:r>
        <w:rPr>
          <w:rFonts w:ascii="仿宋" w:hAnsi="仿宋" w:eastAsia="仿宋" w:cs="宋体"/>
          <w:kern w:val="0"/>
          <w:sz w:val="32"/>
          <w:szCs w:val="32"/>
        </w:rPr>
        <w:t>参评学生活动表现</w:t>
      </w:r>
      <w:r>
        <w:rPr>
          <w:rFonts w:hint="eastAsia" w:ascii="仿宋" w:hAnsi="仿宋" w:eastAsia="仿宋" w:cs="宋体"/>
          <w:kern w:val="0"/>
          <w:sz w:val="32"/>
          <w:szCs w:val="32"/>
        </w:rPr>
        <w:t>方面进行评分</w:t>
      </w:r>
      <w:r>
        <w:rPr>
          <w:rFonts w:ascii="仿宋" w:hAnsi="仿宋" w:eastAsia="仿宋" w:cs="宋体"/>
          <w:kern w:val="0"/>
          <w:sz w:val="32"/>
          <w:szCs w:val="32"/>
        </w:rPr>
        <w:t>，并</w:t>
      </w:r>
      <w:r>
        <w:rPr>
          <w:rFonts w:hint="eastAsia" w:ascii="仿宋" w:hAnsi="仿宋" w:eastAsia="仿宋" w:cs="宋体"/>
          <w:kern w:val="0"/>
          <w:sz w:val="32"/>
          <w:szCs w:val="32"/>
        </w:rPr>
        <w:t>与</w:t>
      </w:r>
      <w:r>
        <w:rPr>
          <w:rFonts w:ascii="仿宋" w:hAnsi="仿宋" w:eastAsia="仿宋" w:cs="宋体"/>
          <w:kern w:val="0"/>
          <w:sz w:val="32"/>
          <w:szCs w:val="32"/>
        </w:rPr>
        <w:t>专业学院</w:t>
      </w:r>
      <w:r>
        <w:rPr>
          <w:rFonts w:hint="eastAsia" w:ascii="仿宋" w:hAnsi="仿宋" w:eastAsia="仿宋" w:cs="宋体"/>
          <w:kern w:val="0"/>
          <w:sz w:val="32"/>
          <w:szCs w:val="32"/>
        </w:rPr>
        <w:t>共同完成</w:t>
      </w:r>
      <w:r>
        <w:rPr>
          <w:rFonts w:ascii="仿宋" w:hAnsi="仿宋" w:eastAsia="仿宋" w:cs="宋体"/>
          <w:kern w:val="0"/>
          <w:sz w:val="32"/>
          <w:szCs w:val="32"/>
        </w:rPr>
        <w:t>学生</w:t>
      </w:r>
      <w:r>
        <w:rPr>
          <w:rFonts w:hint="eastAsia" w:ascii="仿宋" w:hAnsi="仿宋" w:eastAsia="仿宋" w:cs="宋体"/>
          <w:kern w:val="0"/>
          <w:sz w:val="32"/>
          <w:szCs w:val="32"/>
        </w:rPr>
        <w:t>道德品行定量打分</w:t>
      </w:r>
      <w:r>
        <w:rPr>
          <w:rFonts w:ascii="仿宋" w:hAnsi="仿宋" w:eastAsia="仿宋" w:cs="宋体"/>
          <w:kern w:val="0"/>
          <w:sz w:val="32"/>
          <w:szCs w:val="32"/>
        </w:rPr>
        <w:t>和</w:t>
      </w:r>
      <w:r>
        <w:rPr>
          <w:rFonts w:hint="eastAsia" w:ascii="仿宋" w:hAnsi="仿宋" w:eastAsia="仿宋" w:cs="宋体"/>
          <w:kern w:val="0"/>
          <w:sz w:val="32"/>
          <w:szCs w:val="32"/>
        </w:rPr>
        <w:t>定性</w:t>
      </w:r>
      <w:r>
        <w:rPr>
          <w:rFonts w:ascii="仿宋" w:hAnsi="仿宋" w:eastAsia="仿宋" w:cs="宋体"/>
          <w:kern w:val="0"/>
          <w:sz w:val="32"/>
          <w:szCs w:val="32"/>
        </w:rPr>
        <w:t>评价</w:t>
      </w:r>
      <w:r>
        <w:rPr>
          <w:rFonts w:hint="eastAsia" w:ascii="仿宋" w:hAnsi="仿宋" w:eastAsia="仿宋" w:cs="宋体"/>
          <w:kern w:val="0"/>
          <w:sz w:val="32"/>
          <w:szCs w:val="32"/>
        </w:rPr>
        <w:t>。</w:t>
      </w:r>
    </w:p>
    <w:p>
      <w:pPr>
        <w:adjustRightInd w:val="0"/>
        <w:snapToGrid w:val="0"/>
        <w:spacing w:line="600" w:lineRule="exact"/>
        <w:ind w:firstLine="640" w:firstLineChars="200"/>
        <w:rPr>
          <w:rFonts w:ascii="仿宋" w:hAnsi="仿宋" w:eastAsia="仿宋" w:cs="宋体"/>
          <w:kern w:val="0"/>
          <w:sz w:val="32"/>
          <w:szCs w:val="32"/>
        </w:rPr>
      </w:pPr>
      <w:r>
        <w:rPr>
          <w:rFonts w:ascii="仿宋" w:hAnsi="仿宋" w:eastAsia="仿宋" w:cs="宋体"/>
          <w:kern w:val="0"/>
          <w:sz w:val="32"/>
          <w:szCs w:val="32"/>
        </w:rPr>
        <w:t>4.</w:t>
      </w:r>
      <w:r>
        <w:rPr>
          <w:rFonts w:hint="eastAsia" w:ascii="仿宋" w:hAnsi="仿宋" w:eastAsia="仿宋" w:cs="宋体"/>
          <w:kern w:val="0"/>
          <w:sz w:val="32"/>
          <w:szCs w:val="32"/>
        </w:rPr>
        <w:t>专业</w:t>
      </w:r>
      <w:r>
        <w:rPr>
          <w:rFonts w:ascii="仿宋" w:hAnsi="仿宋" w:eastAsia="仿宋" w:cs="宋体"/>
          <w:kern w:val="0"/>
          <w:sz w:val="32"/>
          <w:szCs w:val="32"/>
        </w:rPr>
        <w:t>学院</w:t>
      </w:r>
      <w:r>
        <w:rPr>
          <w:rFonts w:hint="eastAsia" w:ascii="仿宋" w:hAnsi="仿宋" w:eastAsia="仿宋" w:cs="宋体"/>
          <w:kern w:val="0"/>
          <w:sz w:val="32"/>
          <w:szCs w:val="32"/>
        </w:rPr>
        <w:t>同时</w:t>
      </w:r>
      <w:r>
        <w:rPr>
          <w:rFonts w:ascii="仿宋" w:hAnsi="仿宋" w:eastAsia="仿宋" w:cs="宋体"/>
          <w:kern w:val="0"/>
          <w:sz w:val="32"/>
          <w:szCs w:val="32"/>
        </w:rPr>
        <w:t>负责</w:t>
      </w:r>
      <w:r>
        <w:rPr>
          <w:rFonts w:hint="eastAsia" w:ascii="仿宋" w:hAnsi="仿宋" w:eastAsia="仿宋" w:cs="宋体"/>
          <w:kern w:val="0"/>
          <w:sz w:val="32"/>
          <w:szCs w:val="32"/>
        </w:rPr>
        <w:t>对参评</w:t>
      </w:r>
      <w:r>
        <w:rPr>
          <w:rFonts w:ascii="仿宋" w:hAnsi="仿宋" w:eastAsia="仿宋" w:cs="宋体"/>
          <w:kern w:val="0"/>
          <w:sz w:val="32"/>
          <w:szCs w:val="32"/>
        </w:rPr>
        <w:t>学生的</w:t>
      </w:r>
      <w:r>
        <w:rPr>
          <w:rFonts w:hint="eastAsia" w:ascii="仿宋" w:hAnsi="仿宋" w:eastAsia="仿宋" w:cs="宋体"/>
          <w:kern w:val="0"/>
          <w:sz w:val="32"/>
          <w:szCs w:val="32"/>
        </w:rPr>
        <w:t>学习</w:t>
      </w:r>
      <w:r>
        <w:rPr>
          <w:rFonts w:ascii="仿宋" w:hAnsi="仿宋" w:eastAsia="仿宋" w:cs="宋体"/>
          <w:kern w:val="0"/>
          <w:sz w:val="32"/>
          <w:szCs w:val="32"/>
        </w:rPr>
        <w:t>成绩</w:t>
      </w:r>
      <w:r>
        <w:rPr>
          <w:rFonts w:hint="eastAsia" w:ascii="仿宋" w:hAnsi="仿宋" w:eastAsia="仿宋" w:cs="宋体"/>
          <w:kern w:val="0"/>
          <w:sz w:val="32"/>
          <w:szCs w:val="32"/>
        </w:rPr>
        <w:t>/学习</w:t>
      </w:r>
      <w:r>
        <w:rPr>
          <w:rFonts w:ascii="仿宋" w:hAnsi="仿宋" w:eastAsia="仿宋" w:cs="宋体"/>
          <w:kern w:val="0"/>
          <w:sz w:val="32"/>
          <w:szCs w:val="32"/>
        </w:rPr>
        <w:t>态度</w:t>
      </w:r>
      <w:r>
        <w:rPr>
          <w:rFonts w:hint="eastAsia" w:ascii="仿宋" w:hAnsi="仿宋" w:eastAsia="仿宋" w:cs="宋体"/>
          <w:kern w:val="0"/>
          <w:sz w:val="32"/>
          <w:szCs w:val="32"/>
        </w:rPr>
        <w:t>、科研成果/科研态度两方面进行</w:t>
      </w:r>
      <w:r>
        <w:rPr>
          <w:rFonts w:ascii="仿宋" w:hAnsi="仿宋" w:eastAsia="仿宋" w:cs="宋体"/>
          <w:kern w:val="0"/>
          <w:sz w:val="32"/>
          <w:szCs w:val="32"/>
        </w:rPr>
        <w:t>定量和定性评价</w:t>
      </w:r>
      <w:r>
        <w:rPr>
          <w:rFonts w:hint="eastAsia" w:ascii="仿宋" w:hAnsi="仿宋" w:eastAsia="仿宋" w:cs="宋体"/>
          <w:kern w:val="0"/>
          <w:sz w:val="32"/>
          <w:szCs w:val="32"/>
        </w:rPr>
        <w:t>，具体由专业学院和</w:t>
      </w:r>
      <w:r>
        <w:rPr>
          <w:rFonts w:ascii="仿宋" w:hAnsi="仿宋" w:eastAsia="仿宋" w:cs="宋体"/>
          <w:kern w:val="0"/>
          <w:sz w:val="32"/>
          <w:szCs w:val="32"/>
        </w:rPr>
        <w:t>导师</w:t>
      </w:r>
      <w:r>
        <w:rPr>
          <w:rFonts w:hint="eastAsia" w:ascii="仿宋" w:hAnsi="仿宋" w:eastAsia="仿宋" w:cs="宋体"/>
          <w:kern w:val="0"/>
          <w:sz w:val="32"/>
          <w:szCs w:val="32"/>
        </w:rPr>
        <w:t>制定</w:t>
      </w:r>
      <w:r>
        <w:rPr>
          <w:rFonts w:ascii="仿宋" w:hAnsi="仿宋" w:eastAsia="仿宋" w:cs="宋体"/>
          <w:kern w:val="0"/>
          <w:sz w:val="32"/>
          <w:szCs w:val="32"/>
        </w:rPr>
        <w:t>相应的考核方式</w:t>
      </w:r>
      <w:r>
        <w:rPr>
          <w:rFonts w:hint="eastAsia" w:ascii="仿宋" w:hAnsi="仿宋" w:eastAsia="仿宋" w:cs="宋体"/>
          <w:kern w:val="0"/>
          <w:sz w:val="32"/>
          <w:szCs w:val="32"/>
        </w:rPr>
        <w:t>。</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5.对于休学</w:t>
      </w:r>
      <w:r>
        <w:rPr>
          <w:rFonts w:ascii="仿宋" w:hAnsi="仿宋" w:eastAsia="仿宋" w:cs="宋体"/>
          <w:kern w:val="0"/>
          <w:sz w:val="32"/>
          <w:szCs w:val="32"/>
        </w:rPr>
        <w:t>学生</w:t>
      </w:r>
      <w:r>
        <w:rPr>
          <w:rFonts w:hint="eastAsia" w:ascii="仿宋" w:hAnsi="仿宋" w:eastAsia="仿宋" w:cs="宋体"/>
          <w:kern w:val="0"/>
          <w:sz w:val="32"/>
          <w:szCs w:val="32"/>
        </w:rPr>
        <w:t>年度评审</w:t>
      </w:r>
      <w:r>
        <w:rPr>
          <w:rFonts w:ascii="仿宋" w:hAnsi="仿宋" w:eastAsia="仿宋" w:cs="宋体"/>
          <w:kern w:val="0"/>
          <w:sz w:val="32"/>
          <w:szCs w:val="32"/>
        </w:rPr>
        <w:t>，</w:t>
      </w:r>
      <w:r>
        <w:rPr>
          <w:rFonts w:hint="eastAsia" w:ascii="仿宋" w:hAnsi="仿宋" w:eastAsia="仿宋" w:cs="宋体"/>
          <w:kern w:val="0"/>
          <w:sz w:val="32"/>
          <w:szCs w:val="32"/>
        </w:rPr>
        <w:t>统一</w:t>
      </w:r>
      <w:r>
        <w:rPr>
          <w:rFonts w:ascii="仿宋" w:hAnsi="仿宋" w:eastAsia="仿宋" w:cs="宋体"/>
          <w:kern w:val="0"/>
          <w:sz w:val="32"/>
          <w:szCs w:val="32"/>
        </w:rPr>
        <w:t>按照</w:t>
      </w:r>
      <w:r>
        <w:rPr>
          <w:rFonts w:hint="eastAsia" w:ascii="仿宋" w:hAnsi="仿宋" w:eastAsia="仿宋" w:cs="宋体"/>
          <w:kern w:val="0"/>
          <w:sz w:val="32"/>
          <w:szCs w:val="32"/>
        </w:rPr>
        <w:t>学生</w:t>
      </w:r>
      <w:r>
        <w:rPr>
          <w:rFonts w:ascii="仿宋" w:hAnsi="仿宋" w:eastAsia="仿宋" w:cs="宋体"/>
          <w:kern w:val="0"/>
          <w:sz w:val="32"/>
          <w:szCs w:val="32"/>
        </w:rPr>
        <w:t>休学前一年</w:t>
      </w:r>
      <w:r>
        <w:rPr>
          <w:rFonts w:hint="eastAsia" w:ascii="仿宋" w:hAnsi="仿宋" w:eastAsia="仿宋" w:cs="宋体"/>
          <w:kern w:val="0"/>
          <w:sz w:val="32"/>
          <w:szCs w:val="32"/>
        </w:rPr>
        <w:t>成绩</w:t>
      </w:r>
      <w:r>
        <w:rPr>
          <w:rFonts w:ascii="仿宋" w:hAnsi="仿宋" w:eastAsia="仿宋" w:cs="宋体"/>
          <w:kern w:val="0"/>
          <w:sz w:val="32"/>
          <w:szCs w:val="32"/>
        </w:rPr>
        <w:t>及相关</w:t>
      </w:r>
      <w:r>
        <w:rPr>
          <w:rFonts w:hint="eastAsia" w:ascii="仿宋" w:hAnsi="仿宋" w:eastAsia="仿宋" w:cs="宋体"/>
          <w:kern w:val="0"/>
          <w:sz w:val="32"/>
          <w:szCs w:val="32"/>
        </w:rPr>
        <w:t>表现</w:t>
      </w:r>
      <w:r>
        <w:rPr>
          <w:rFonts w:ascii="仿宋" w:hAnsi="仿宋" w:eastAsia="仿宋" w:cs="宋体"/>
          <w:kern w:val="0"/>
          <w:sz w:val="32"/>
          <w:szCs w:val="32"/>
        </w:rPr>
        <w:t>进行评定。</w:t>
      </w:r>
    </w:p>
    <w:p>
      <w:pPr>
        <w:adjustRightInd w:val="0"/>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 xml:space="preserve">第三条  </w:t>
      </w:r>
      <w:r>
        <w:rPr>
          <w:rFonts w:ascii="仿宋" w:hAnsi="仿宋" w:eastAsia="仿宋"/>
          <w:b/>
          <w:sz w:val="32"/>
          <w:szCs w:val="32"/>
        </w:rPr>
        <w:t>年度评审结果等级划分</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根据年度评审的综合得分，年度评审结果等级划分优秀、良好、中等、及格和不及格五个等级，具体评审结果等级划分见表2。</w:t>
      </w:r>
    </w:p>
    <w:p>
      <w:pPr>
        <w:adjustRightInd w:val="0"/>
        <w:snapToGrid w:val="0"/>
        <w:spacing w:line="480" w:lineRule="exact"/>
        <w:jc w:val="center"/>
        <w:rPr>
          <w:rFonts w:ascii="仿宋" w:hAnsi="仿宋" w:eastAsia="仿宋"/>
          <w:b/>
          <w:sz w:val="24"/>
        </w:rPr>
      </w:pPr>
      <w:r>
        <w:rPr>
          <w:rFonts w:hint="eastAsia" w:ascii="仿宋" w:hAnsi="仿宋" w:eastAsia="仿宋"/>
          <w:b/>
          <w:sz w:val="24"/>
        </w:rPr>
        <w:t>表2  年度评审结果的等级划分</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9"/>
        <w:gridCol w:w="2901"/>
        <w:gridCol w:w="2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9" w:type="pct"/>
          </w:tcPr>
          <w:p>
            <w:pPr>
              <w:widowControl/>
              <w:jc w:val="center"/>
              <w:rPr>
                <w:rFonts w:ascii="仿宋_GB2312" w:hAnsi="仿宋" w:eastAsia="仿宋_GB2312"/>
                <w:b/>
                <w:kern w:val="0"/>
                <w:sz w:val="24"/>
              </w:rPr>
            </w:pPr>
            <w:r>
              <w:rPr>
                <w:rFonts w:hint="eastAsia" w:ascii="仿宋_GB2312" w:hAnsi="仿宋" w:eastAsia="仿宋_GB2312"/>
                <w:b/>
                <w:kern w:val="0"/>
                <w:sz w:val="24"/>
              </w:rPr>
              <w:t>年度评审综合得分</w:t>
            </w:r>
          </w:p>
        </w:tc>
        <w:tc>
          <w:tcPr>
            <w:tcW w:w="1611" w:type="pct"/>
          </w:tcPr>
          <w:p>
            <w:pPr>
              <w:widowControl/>
              <w:jc w:val="center"/>
              <w:rPr>
                <w:rFonts w:ascii="仿宋_GB2312" w:hAnsi="仿宋" w:eastAsia="仿宋_GB2312"/>
                <w:b/>
                <w:kern w:val="0"/>
                <w:sz w:val="24"/>
              </w:rPr>
            </w:pPr>
            <w:r>
              <w:rPr>
                <w:rFonts w:hint="eastAsia" w:ascii="仿宋_GB2312" w:hAnsi="仿宋" w:eastAsia="仿宋_GB2312"/>
                <w:b/>
                <w:kern w:val="0"/>
                <w:sz w:val="24"/>
              </w:rPr>
              <w:t>等级</w:t>
            </w:r>
          </w:p>
        </w:tc>
        <w:tc>
          <w:tcPr>
            <w:tcW w:w="1440" w:type="pct"/>
          </w:tcPr>
          <w:p>
            <w:pPr>
              <w:widowControl/>
              <w:jc w:val="center"/>
              <w:rPr>
                <w:rFonts w:ascii="仿宋_GB2312" w:hAnsi="仿宋" w:eastAsia="仿宋_GB2312"/>
                <w:b/>
                <w:kern w:val="0"/>
                <w:sz w:val="24"/>
              </w:rPr>
            </w:pPr>
            <w:r>
              <w:rPr>
                <w:rFonts w:hint="eastAsia" w:ascii="仿宋_GB2312" w:hAnsi="仿宋" w:eastAsia="仿宋_GB2312"/>
                <w:b/>
                <w:kern w:val="0"/>
                <w:sz w:val="24"/>
              </w:rPr>
              <w:t>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9" w:type="pct"/>
          </w:tcPr>
          <w:p>
            <w:pPr>
              <w:widowControl/>
              <w:jc w:val="center"/>
              <w:rPr>
                <w:rFonts w:ascii="仿宋_GB2312" w:hAnsi="仿宋" w:eastAsia="仿宋_GB2312"/>
                <w:kern w:val="0"/>
                <w:sz w:val="24"/>
              </w:rPr>
            </w:pPr>
            <w:r>
              <w:rPr>
                <w:rFonts w:hint="eastAsia" w:ascii="仿宋_GB2312" w:hAnsi="仿宋" w:eastAsia="仿宋_GB2312"/>
                <w:kern w:val="0"/>
                <w:sz w:val="24"/>
              </w:rPr>
              <w:t>90-100</w:t>
            </w:r>
          </w:p>
        </w:tc>
        <w:tc>
          <w:tcPr>
            <w:tcW w:w="1611" w:type="pct"/>
          </w:tcPr>
          <w:p>
            <w:pPr>
              <w:widowControl/>
              <w:jc w:val="center"/>
              <w:rPr>
                <w:rFonts w:ascii="仿宋_GB2312" w:hAnsi="仿宋" w:eastAsia="仿宋_GB2312"/>
                <w:kern w:val="0"/>
                <w:sz w:val="24"/>
              </w:rPr>
            </w:pPr>
            <w:r>
              <w:rPr>
                <w:rFonts w:hint="eastAsia" w:ascii="仿宋_GB2312" w:hAnsi="仿宋" w:eastAsia="仿宋_GB2312"/>
                <w:kern w:val="0"/>
                <w:sz w:val="24"/>
              </w:rPr>
              <w:t>优</w:t>
            </w:r>
          </w:p>
        </w:tc>
        <w:tc>
          <w:tcPr>
            <w:tcW w:w="1440" w:type="pct"/>
          </w:tcPr>
          <w:p>
            <w:pPr>
              <w:widowControl/>
              <w:jc w:val="center"/>
              <w:rPr>
                <w:rFonts w:ascii="仿宋_GB2312" w:hAnsi="仿宋" w:eastAsia="仿宋_GB2312"/>
                <w:kern w:val="0"/>
                <w:sz w:val="24"/>
              </w:rPr>
            </w:pPr>
            <w:r>
              <w:rPr>
                <w:rFonts w:hint="eastAsia" w:ascii="仿宋_GB2312" w:hAnsi="仿宋" w:eastAsia="仿宋_GB2312"/>
                <w:kern w:val="0"/>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9" w:type="pct"/>
          </w:tcPr>
          <w:p>
            <w:pPr>
              <w:widowControl/>
              <w:jc w:val="center"/>
              <w:rPr>
                <w:rFonts w:ascii="仿宋_GB2312" w:hAnsi="仿宋" w:eastAsia="仿宋_GB2312"/>
                <w:kern w:val="0"/>
                <w:sz w:val="24"/>
              </w:rPr>
            </w:pPr>
            <w:r>
              <w:rPr>
                <w:rFonts w:hint="eastAsia" w:ascii="仿宋_GB2312" w:hAnsi="仿宋" w:eastAsia="仿宋_GB2312"/>
                <w:kern w:val="0"/>
                <w:sz w:val="24"/>
              </w:rPr>
              <w:t>80-90（不含）</w:t>
            </w:r>
          </w:p>
        </w:tc>
        <w:tc>
          <w:tcPr>
            <w:tcW w:w="1611" w:type="pct"/>
          </w:tcPr>
          <w:p>
            <w:pPr>
              <w:widowControl/>
              <w:jc w:val="center"/>
              <w:rPr>
                <w:rFonts w:ascii="仿宋_GB2312" w:hAnsi="仿宋" w:eastAsia="仿宋_GB2312"/>
                <w:kern w:val="0"/>
                <w:sz w:val="24"/>
              </w:rPr>
            </w:pPr>
            <w:r>
              <w:rPr>
                <w:rFonts w:hint="eastAsia" w:ascii="仿宋_GB2312" w:hAnsi="仿宋" w:eastAsia="仿宋_GB2312"/>
                <w:kern w:val="0"/>
                <w:sz w:val="24"/>
              </w:rPr>
              <w:t>良</w:t>
            </w:r>
          </w:p>
        </w:tc>
        <w:tc>
          <w:tcPr>
            <w:tcW w:w="1440" w:type="pct"/>
          </w:tcPr>
          <w:p>
            <w:pPr>
              <w:widowControl/>
              <w:jc w:val="center"/>
              <w:rPr>
                <w:rFonts w:ascii="仿宋_GB2312" w:hAnsi="仿宋" w:eastAsia="仿宋_GB2312"/>
                <w:kern w:val="0"/>
                <w:sz w:val="24"/>
              </w:rPr>
            </w:pPr>
            <w:r>
              <w:rPr>
                <w:rFonts w:hint="eastAsia" w:ascii="仿宋_GB2312" w:hAnsi="仿宋" w:eastAsia="仿宋_GB2312"/>
                <w:kern w:val="0"/>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9" w:type="pct"/>
          </w:tcPr>
          <w:p>
            <w:pPr>
              <w:widowControl/>
              <w:jc w:val="center"/>
              <w:rPr>
                <w:rFonts w:ascii="仿宋_GB2312" w:hAnsi="仿宋" w:eastAsia="仿宋_GB2312"/>
                <w:kern w:val="0"/>
                <w:sz w:val="24"/>
              </w:rPr>
            </w:pPr>
            <w:r>
              <w:rPr>
                <w:rFonts w:hint="eastAsia" w:ascii="仿宋_GB2312" w:hAnsi="仿宋" w:eastAsia="仿宋_GB2312"/>
                <w:kern w:val="0"/>
                <w:sz w:val="24"/>
              </w:rPr>
              <w:t>70-80（不含）</w:t>
            </w:r>
          </w:p>
        </w:tc>
        <w:tc>
          <w:tcPr>
            <w:tcW w:w="1611" w:type="pct"/>
          </w:tcPr>
          <w:p>
            <w:pPr>
              <w:widowControl/>
              <w:jc w:val="center"/>
              <w:rPr>
                <w:rFonts w:ascii="仿宋_GB2312" w:hAnsi="仿宋" w:eastAsia="仿宋_GB2312"/>
                <w:kern w:val="0"/>
                <w:sz w:val="24"/>
              </w:rPr>
            </w:pPr>
            <w:r>
              <w:rPr>
                <w:rFonts w:hint="eastAsia" w:ascii="仿宋_GB2312" w:hAnsi="仿宋" w:eastAsia="仿宋_GB2312"/>
                <w:kern w:val="0"/>
                <w:sz w:val="24"/>
              </w:rPr>
              <w:t>中</w:t>
            </w:r>
          </w:p>
        </w:tc>
        <w:tc>
          <w:tcPr>
            <w:tcW w:w="1440" w:type="pct"/>
          </w:tcPr>
          <w:p>
            <w:pPr>
              <w:widowControl/>
              <w:jc w:val="center"/>
              <w:rPr>
                <w:rFonts w:ascii="仿宋_GB2312" w:hAnsi="仿宋" w:eastAsia="仿宋_GB2312"/>
                <w:kern w:val="0"/>
                <w:sz w:val="24"/>
              </w:rPr>
            </w:pPr>
            <w:r>
              <w:rPr>
                <w:rFonts w:hint="eastAsia" w:ascii="仿宋_GB2312" w:hAnsi="仿宋" w:eastAsia="仿宋_GB2312"/>
                <w:kern w:val="0"/>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9" w:type="pct"/>
          </w:tcPr>
          <w:p>
            <w:pPr>
              <w:widowControl/>
              <w:jc w:val="center"/>
              <w:rPr>
                <w:rFonts w:ascii="仿宋_GB2312" w:hAnsi="仿宋" w:eastAsia="仿宋_GB2312"/>
                <w:kern w:val="0"/>
                <w:sz w:val="24"/>
              </w:rPr>
            </w:pPr>
            <w:r>
              <w:rPr>
                <w:rFonts w:hint="eastAsia" w:ascii="仿宋_GB2312" w:hAnsi="仿宋" w:eastAsia="仿宋_GB2312"/>
                <w:kern w:val="0"/>
                <w:sz w:val="24"/>
              </w:rPr>
              <w:t>60-70（不含）</w:t>
            </w:r>
          </w:p>
        </w:tc>
        <w:tc>
          <w:tcPr>
            <w:tcW w:w="1611" w:type="pct"/>
          </w:tcPr>
          <w:p>
            <w:pPr>
              <w:widowControl/>
              <w:jc w:val="center"/>
              <w:rPr>
                <w:rFonts w:ascii="仿宋_GB2312" w:hAnsi="仿宋" w:eastAsia="仿宋_GB2312"/>
                <w:kern w:val="0"/>
                <w:sz w:val="24"/>
              </w:rPr>
            </w:pPr>
            <w:r>
              <w:rPr>
                <w:rFonts w:hint="eastAsia" w:ascii="仿宋_GB2312" w:hAnsi="仿宋" w:eastAsia="仿宋_GB2312"/>
                <w:kern w:val="0"/>
                <w:sz w:val="24"/>
              </w:rPr>
              <w:t>及格</w:t>
            </w:r>
          </w:p>
        </w:tc>
        <w:tc>
          <w:tcPr>
            <w:tcW w:w="1440" w:type="pct"/>
          </w:tcPr>
          <w:p>
            <w:pPr>
              <w:widowControl/>
              <w:jc w:val="center"/>
              <w:rPr>
                <w:rFonts w:ascii="仿宋_GB2312" w:hAnsi="仿宋" w:eastAsia="仿宋_GB2312"/>
                <w:kern w:val="0"/>
                <w:sz w:val="24"/>
              </w:rPr>
            </w:pPr>
            <w:r>
              <w:rPr>
                <w:rFonts w:hint="eastAsia" w:ascii="仿宋_GB2312" w:hAnsi="仿宋" w:eastAsia="仿宋_GB2312"/>
                <w:kern w:val="0"/>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9" w:type="pct"/>
          </w:tcPr>
          <w:p>
            <w:pPr>
              <w:widowControl/>
              <w:jc w:val="center"/>
              <w:rPr>
                <w:rFonts w:ascii="仿宋_GB2312" w:hAnsi="仿宋" w:eastAsia="仿宋_GB2312"/>
                <w:kern w:val="0"/>
                <w:sz w:val="24"/>
              </w:rPr>
            </w:pPr>
            <w:r>
              <w:rPr>
                <w:rFonts w:hint="eastAsia" w:ascii="仿宋_GB2312" w:hAnsi="仿宋" w:eastAsia="仿宋_GB2312"/>
                <w:kern w:val="0"/>
                <w:sz w:val="24"/>
              </w:rPr>
              <w:t>&lt;60</w:t>
            </w:r>
          </w:p>
        </w:tc>
        <w:tc>
          <w:tcPr>
            <w:tcW w:w="1611" w:type="pct"/>
          </w:tcPr>
          <w:p>
            <w:pPr>
              <w:widowControl/>
              <w:jc w:val="center"/>
              <w:rPr>
                <w:rFonts w:ascii="仿宋_GB2312" w:hAnsi="仿宋" w:eastAsia="仿宋_GB2312"/>
                <w:kern w:val="0"/>
                <w:sz w:val="24"/>
              </w:rPr>
            </w:pPr>
            <w:r>
              <w:rPr>
                <w:rFonts w:hint="eastAsia" w:ascii="仿宋_GB2312" w:hAnsi="仿宋" w:eastAsia="仿宋_GB2312"/>
                <w:kern w:val="0"/>
                <w:sz w:val="24"/>
              </w:rPr>
              <w:t>不及格</w:t>
            </w:r>
          </w:p>
        </w:tc>
        <w:tc>
          <w:tcPr>
            <w:tcW w:w="1440" w:type="pct"/>
          </w:tcPr>
          <w:p>
            <w:pPr>
              <w:widowControl/>
              <w:jc w:val="center"/>
              <w:rPr>
                <w:rFonts w:ascii="仿宋_GB2312" w:hAnsi="仿宋" w:eastAsia="仿宋_GB2312"/>
                <w:kern w:val="0"/>
                <w:sz w:val="24"/>
              </w:rPr>
            </w:pPr>
            <w:r>
              <w:rPr>
                <w:rFonts w:hint="eastAsia" w:ascii="仿宋_GB2312" w:hAnsi="仿宋" w:eastAsia="仿宋_GB2312"/>
                <w:kern w:val="0"/>
                <w:sz w:val="24"/>
              </w:rPr>
              <w:t>未通过</w:t>
            </w:r>
          </w:p>
        </w:tc>
      </w:tr>
    </w:tbl>
    <w:p>
      <w:pPr>
        <w:adjustRightInd w:val="0"/>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第四条奖学金中止和恢复</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1.有下列情况之一者，中止其享受中国政府奖学金资格一年。</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w:t>
      </w:r>
      <w:r>
        <w:rPr>
          <w:rFonts w:ascii="仿宋" w:hAnsi="仿宋" w:eastAsia="仿宋" w:cs="宋体"/>
          <w:kern w:val="0"/>
          <w:sz w:val="32"/>
          <w:szCs w:val="32"/>
        </w:rPr>
        <w:t>1</w:t>
      </w:r>
      <w:r>
        <w:rPr>
          <w:rFonts w:hint="eastAsia" w:ascii="仿宋" w:hAnsi="仿宋" w:eastAsia="仿宋" w:cs="宋体"/>
          <w:kern w:val="0"/>
          <w:sz w:val="32"/>
          <w:szCs w:val="32"/>
        </w:rPr>
        <w:t>）因20</w:t>
      </w:r>
      <w:r>
        <w:rPr>
          <w:rFonts w:ascii="仿宋" w:hAnsi="仿宋" w:eastAsia="仿宋" w:cs="宋体"/>
          <w:kern w:val="0"/>
          <w:sz w:val="32"/>
          <w:szCs w:val="32"/>
        </w:rPr>
        <w:t>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学年考核成绩不及格留级或者降级的；</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w:t>
      </w:r>
      <w:r>
        <w:rPr>
          <w:rFonts w:ascii="仿宋" w:hAnsi="仿宋" w:eastAsia="仿宋" w:cs="宋体"/>
          <w:kern w:val="0"/>
          <w:sz w:val="32"/>
          <w:szCs w:val="32"/>
        </w:rPr>
        <w:t>2</w:t>
      </w:r>
      <w:r>
        <w:rPr>
          <w:rFonts w:hint="eastAsia" w:ascii="仿宋" w:hAnsi="仿宋" w:eastAsia="仿宋" w:cs="宋体"/>
          <w:kern w:val="0"/>
          <w:sz w:val="32"/>
          <w:szCs w:val="32"/>
        </w:rPr>
        <w:t>）所修课程连续两年未达到规定学分的；</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w:t>
      </w:r>
      <w:r>
        <w:rPr>
          <w:rFonts w:ascii="仿宋" w:hAnsi="仿宋" w:eastAsia="仿宋" w:cs="宋体"/>
          <w:kern w:val="0"/>
          <w:sz w:val="32"/>
          <w:szCs w:val="32"/>
        </w:rPr>
        <w:t>3</w:t>
      </w:r>
      <w:r>
        <w:rPr>
          <w:rFonts w:hint="eastAsia" w:ascii="仿宋" w:hAnsi="仿宋" w:eastAsia="仿宋" w:cs="宋体"/>
          <w:kern w:val="0"/>
          <w:sz w:val="32"/>
          <w:szCs w:val="32"/>
        </w:rPr>
        <w:t>）受到留校</w:t>
      </w:r>
      <w:r>
        <w:rPr>
          <w:rFonts w:ascii="仿宋" w:hAnsi="仿宋" w:eastAsia="仿宋" w:cs="宋体"/>
          <w:kern w:val="0"/>
          <w:sz w:val="32"/>
          <w:szCs w:val="32"/>
        </w:rPr>
        <w:t>察看</w:t>
      </w:r>
      <w:r>
        <w:rPr>
          <w:rFonts w:hint="eastAsia" w:ascii="仿宋" w:hAnsi="仿宋" w:eastAsia="仿宋" w:cs="宋体"/>
          <w:kern w:val="0"/>
          <w:sz w:val="32"/>
          <w:szCs w:val="32"/>
        </w:rPr>
        <w:t>处分的学生。</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2．有下列情况之一者，取消其享受中国政府奖学金的资格。</w:t>
      </w:r>
      <w:bookmarkStart w:id="4" w:name="_GoBack"/>
      <w:bookmarkEnd w:id="4"/>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w:t>
      </w:r>
      <w:r>
        <w:rPr>
          <w:rFonts w:ascii="仿宋" w:hAnsi="仿宋" w:eastAsia="仿宋" w:cs="宋体"/>
          <w:kern w:val="0"/>
          <w:sz w:val="32"/>
          <w:szCs w:val="32"/>
        </w:rPr>
        <w:t>1</w:t>
      </w:r>
      <w:r>
        <w:rPr>
          <w:rFonts w:hint="eastAsia" w:ascii="仿宋" w:hAnsi="仿宋" w:eastAsia="仿宋" w:cs="宋体"/>
          <w:kern w:val="0"/>
          <w:sz w:val="32"/>
          <w:szCs w:val="32"/>
        </w:rPr>
        <w:t>）受到勒令退学或者开除学籍处分的；</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w:t>
      </w:r>
      <w:r>
        <w:rPr>
          <w:rFonts w:ascii="仿宋" w:hAnsi="仿宋" w:eastAsia="仿宋" w:cs="宋体"/>
          <w:kern w:val="0"/>
          <w:sz w:val="32"/>
          <w:szCs w:val="32"/>
        </w:rPr>
        <w:t>2</w:t>
      </w:r>
      <w:r>
        <w:rPr>
          <w:rFonts w:hint="eastAsia" w:ascii="仿宋" w:hAnsi="仿宋" w:eastAsia="仿宋" w:cs="宋体"/>
          <w:kern w:val="0"/>
          <w:sz w:val="32"/>
          <w:szCs w:val="32"/>
        </w:rPr>
        <w:t>）在校学习期间累计两次未通过年度评审的；</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w:t>
      </w:r>
      <w:r>
        <w:rPr>
          <w:rFonts w:ascii="仿宋" w:hAnsi="仿宋" w:eastAsia="仿宋" w:cs="宋体"/>
          <w:kern w:val="0"/>
          <w:sz w:val="32"/>
          <w:szCs w:val="32"/>
        </w:rPr>
        <w:t>3</w:t>
      </w:r>
      <w:r>
        <w:rPr>
          <w:rFonts w:hint="eastAsia" w:ascii="仿宋" w:hAnsi="仿宋" w:eastAsia="仿宋" w:cs="宋体"/>
          <w:kern w:val="0"/>
          <w:sz w:val="32"/>
          <w:szCs w:val="32"/>
        </w:rPr>
        <w:t>）无正当理由不参加年度评审的。</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被取消享受中国政府奖学金资格者，从公布之日起停发其奖学金，其享受中国政府奖学金的资格不得再恢复。</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3.年度评审未通过者，其享受奖学金资格自</w:t>
      </w:r>
      <w:r>
        <w:rPr>
          <w:rFonts w:ascii="仿宋" w:hAnsi="仿宋" w:eastAsia="仿宋" w:cs="宋体"/>
          <w:kern w:val="0"/>
          <w:sz w:val="32"/>
          <w:szCs w:val="32"/>
        </w:rPr>
        <w:t>国家留学基金委评审结果</w:t>
      </w:r>
      <w:r>
        <w:rPr>
          <w:rFonts w:hint="eastAsia" w:ascii="仿宋" w:hAnsi="仿宋" w:eastAsia="仿宋" w:cs="宋体"/>
          <w:kern w:val="0"/>
          <w:sz w:val="32"/>
          <w:szCs w:val="32"/>
        </w:rPr>
        <w:t>的</w:t>
      </w:r>
      <w:r>
        <w:rPr>
          <w:rFonts w:ascii="仿宋" w:hAnsi="仿宋" w:eastAsia="仿宋" w:cs="宋体"/>
          <w:kern w:val="0"/>
          <w:sz w:val="32"/>
          <w:szCs w:val="32"/>
        </w:rPr>
        <w:t>批复</w:t>
      </w:r>
      <w:r>
        <w:rPr>
          <w:rFonts w:hint="eastAsia" w:ascii="仿宋" w:hAnsi="仿宋" w:eastAsia="仿宋" w:cs="宋体"/>
          <w:kern w:val="0"/>
          <w:sz w:val="32"/>
          <w:szCs w:val="32"/>
        </w:rPr>
        <w:t>之日起中止，中止期为一年。中止奖学金者，如继续以自费方式留校学习，须于接到评审结果通知之日起7天内向国际学院提出书面申请，由国际学院会同有关学院（所）、管理部门审批。审批通过者，缴纳相关费用后方可继续在我校学习。</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4.中止奖学金后留校学习者，可于中止期满后申请恢复奖学金。申请者须向国际学院提出书面申请，由国际学院会同有关学院（所）、管理部门进行审核。审核通过后，方可参加年度评审，如评审等级为优或良，由国际学院负责将评审结果报</w:t>
      </w:r>
      <w:r>
        <w:rPr>
          <w:rFonts w:ascii="仿宋" w:hAnsi="仿宋" w:eastAsia="仿宋" w:cs="宋体"/>
          <w:kern w:val="0"/>
          <w:sz w:val="32"/>
          <w:szCs w:val="32"/>
        </w:rPr>
        <w:t>国家留学基金委</w:t>
      </w:r>
      <w:r>
        <w:rPr>
          <w:rFonts w:hint="eastAsia" w:ascii="仿宋" w:hAnsi="仿宋" w:eastAsia="仿宋" w:cs="宋体"/>
          <w:kern w:val="0"/>
          <w:sz w:val="32"/>
          <w:szCs w:val="32"/>
        </w:rPr>
        <w:t>审批。</w:t>
      </w:r>
    </w:p>
    <w:p>
      <w:pPr>
        <w:adjustRightInd w:val="0"/>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第五条  年度评审评定</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1.国际学院奖学金年度评审小组结合专业学院奖学金年度</w:t>
      </w:r>
      <w:r>
        <w:rPr>
          <w:rFonts w:ascii="仿宋" w:hAnsi="仿宋" w:eastAsia="仿宋" w:cs="宋体"/>
          <w:kern w:val="0"/>
          <w:sz w:val="32"/>
          <w:szCs w:val="32"/>
        </w:rPr>
        <w:t>评审小组</w:t>
      </w:r>
      <w:r>
        <w:rPr>
          <w:rFonts w:hint="eastAsia" w:ascii="仿宋" w:hAnsi="仿宋" w:eastAsia="仿宋" w:cs="宋体"/>
          <w:kern w:val="0"/>
          <w:sz w:val="32"/>
          <w:szCs w:val="32"/>
        </w:rPr>
        <w:t>评审结果给出初评结果，</w:t>
      </w:r>
      <w:r>
        <w:rPr>
          <w:rFonts w:ascii="仿宋" w:hAnsi="仿宋" w:eastAsia="仿宋" w:cs="宋体"/>
          <w:kern w:val="0"/>
          <w:sz w:val="32"/>
          <w:szCs w:val="32"/>
        </w:rPr>
        <w:t>并进行公示</w:t>
      </w:r>
      <w:r>
        <w:rPr>
          <w:rFonts w:hint="eastAsia" w:ascii="仿宋" w:hAnsi="仿宋" w:eastAsia="仿宋" w:cs="宋体"/>
          <w:kern w:val="0"/>
          <w:sz w:val="32"/>
          <w:szCs w:val="32"/>
        </w:rPr>
        <w:t>。</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2.学校奖学金年度评审工作领导小组对初评结果进行最终审定。</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3.评审原则</w:t>
      </w:r>
      <w:r>
        <w:rPr>
          <w:rFonts w:ascii="仿宋" w:hAnsi="仿宋" w:eastAsia="仿宋" w:cs="宋体"/>
          <w:kern w:val="0"/>
          <w:sz w:val="32"/>
          <w:szCs w:val="32"/>
        </w:rPr>
        <w:t>上定量打分情况应与评审意见一致</w:t>
      </w:r>
      <w:r>
        <w:rPr>
          <w:rFonts w:hint="eastAsia" w:ascii="仿宋" w:hAnsi="仿宋" w:eastAsia="仿宋" w:cs="宋体"/>
          <w:kern w:val="0"/>
          <w:sz w:val="32"/>
          <w:szCs w:val="32"/>
        </w:rPr>
        <w:t>，即</w:t>
      </w:r>
      <w:r>
        <w:rPr>
          <w:rFonts w:ascii="仿宋" w:hAnsi="仿宋" w:eastAsia="仿宋" w:cs="宋体"/>
          <w:kern w:val="0"/>
          <w:sz w:val="32"/>
          <w:szCs w:val="32"/>
        </w:rPr>
        <w:t>总分为</w:t>
      </w:r>
      <w:r>
        <w:rPr>
          <w:rFonts w:hint="eastAsia" w:ascii="仿宋" w:hAnsi="仿宋" w:eastAsia="仿宋" w:cs="宋体"/>
          <w:kern w:val="0"/>
          <w:sz w:val="32"/>
          <w:szCs w:val="32"/>
        </w:rPr>
        <w:t>60分</w:t>
      </w:r>
      <w:r>
        <w:rPr>
          <w:rFonts w:ascii="仿宋" w:hAnsi="仿宋" w:eastAsia="仿宋" w:cs="宋体"/>
          <w:kern w:val="0"/>
          <w:sz w:val="32"/>
          <w:szCs w:val="32"/>
        </w:rPr>
        <w:t>及以上者视为合格。</w:t>
      </w:r>
      <w:r>
        <w:rPr>
          <w:rFonts w:hint="eastAsia" w:ascii="仿宋" w:hAnsi="仿宋" w:eastAsia="仿宋" w:cs="宋体"/>
          <w:kern w:val="0"/>
          <w:sz w:val="32"/>
          <w:szCs w:val="32"/>
        </w:rPr>
        <w:t>对于不合格的学生，须提出中止奖学金或取消奖学金的具体</w:t>
      </w:r>
      <w:r>
        <w:rPr>
          <w:rFonts w:ascii="仿宋" w:hAnsi="仿宋" w:eastAsia="仿宋" w:cs="宋体"/>
          <w:kern w:val="0"/>
          <w:sz w:val="32"/>
          <w:szCs w:val="32"/>
        </w:rPr>
        <w:t>处理</w:t>
      </w:r>
      <w:r>
        <w:rPr>
          <w:rFonts w:hint="eastAsia" w:ascii="仿宋" w:hAnsi="仿宋" w:eastAsia="仿宋" w:cs="宋体"/>
          <w:kern w:val="0"/>
          <w:sz w:val="32"/>
          <w:szCs w:val="32"/>
        </w:rPr>
        <w:t>建议。对于学习态度和日常表现良好，但学能较差、学习成绩不理想，评审意见为中止奖学金的学生，如确有经济困难无法自费继续学业，学校可帮其申请提供部分奖学金资助。</w:t>
      </w:r>
    </w:p>
    <w:p>
      <w:pPr>
        <w:adjustRightInd w:val="0"/>
        <w:snapToGrid w:val="0"/>
        <w:spacing w:line="600" w:lineRule="exact"/>
        <w:ind w:firstLine="643" w:firstLineChars="200"/>
        <w:rPr>
          <w:rFonts w:ascii="仿宋" w:hAnsi="仿宋" w:eastAsia="仿宋"/>
          <w:b/>
          <w:sz w:val="32"/>
          <w:szCs w:val="32"/>
        </w:rPr>
      </w:pPr>
      <w:r>
        <w:rPr>
          <w:rFonts w:ascii="仿宋" w:hAnsi="仿宋" w:eastAsia="仿宋"/>
          <w:b/>
          <w:sz w:val="32"/>
          <w:szCs w:val="32"/>
        </w:rPr>
        <w:t>第</w:t>
      </w:r>
      <w:r>
        <w:rPr>
          <w:rFonts w:hint="eastAsia" w:ascii="仿宋" w:hAnsi="仿宋" w:eastAsia="仿宋"/>
          <w:b/>
          <w:sz w:val="32"/>
          <w:szCs w:val="32"/>
        </w:rPr>
        <w:t>六</w:t>
      </w:r>
      <w:r>
        <w:rPr>
          <w:rFonts w:ascii="仿宋" w:hAnsi="仿宋" w:eastAsia="仿宋"/>
          <w:b/>
          <w:sz w:val="32"/>
          <w:szCs w:val="32"/>
        </w:rPr>
        <w:t xml:space="preserve">条  </w:t>
      </w:r>
      <w:r>
        <w:rPr>
          <w:rFonts w:hint="eastAsia" w:ascii="仿宋" w:hAnsi="仿宋" w:eastAsia="仿宋"/>
          <w:b/>
          <w:sz w:val="32"/>
          <w:szCs w:val="32"/>
        </w:rPr>
        <w:t>年度评审结果运用</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cs="宋体"/>
          <w:kern w:val="0"/>
          <w:sz w:val="32"/>
          <w:szCs w:val="32"/>
        </w:rPr>
        <w:t>对不同培养阶段奖学金年度评审结果排名前3</w:t>
      </w:r>
      <w:r>
        <w:rPr>
          <w:rFonts w:ascii="仿宋" w:hAnsi="仿宋" w:eastAsia="仿宋" w:cs="宋体"/>
          <w:kern w:val="0"/>
          <w:sz w:val="32"/>
          <w:szCs w:val="32"/>
        </w:rPr>
        <w:t>0%</w:t>
      </w:r>
      <w:r>
        <w:rPr>
          <w:rFonts w:hint="eastAsia" w:ascii="仿宋" w:hAnsi="仿宋" w:eastAsia="仿宋" w:cs="宋体"/>
          <w:kern w:val="0"/>
          <w:sz w:val="32"/>
          <w:szCs w:val="32"/>
        </w:rPr>
        <w:t>的留学生，国际学院将会同有关部门和专业学院在评定优秀来华留学生、校长奖学金等评优工作和参与省内外相关社会实践与文化体验活动中优先考虑。</w:t>
      </w:r>
    </w:p>
    <w:p>
      <w:pPr>
        <w:spacing w:line="600" w:lineRule="exact"/>
        <w:ind w:firstLine="710" w:firstLineChars="221"/>
        <w:rPr>
          <w:rFonts w:ascii="仿宋" w:hAnsi="仿宋" w:eastAsia="仿宋" w:cs="宋体"/>
          <w:kern w:val="0"/>
          <w:sz w:val="32"/>
          <w:szCs w:val="32"/>
        </w:rPr>
      </w:pPr>
      <w:r>
        <w:rPr>
          <w:rFonts w:ascii="仿宋" w:hAnsi="仿宋" w:eastAsia="仿宋"/>
          <w:b/>
          <w:sz w:val="32"/>
          <w:szCs w:val="32"/>
        </w:rPr>
        <w:t>第</w:t>
      </w:r>
      <w:r>
        <w:rPr>
          <w:rFonts w:hint="eastAsia" w:ascii="仿宋" w:hAnsi="仿宋" w:eastAsia="仿宋"/>
          <w:b/>
          <w:sz w:val="32"/>
          <w:szCs w:val="32"/>
        </w:rPr>
        <w:t>七</w:t>
      </w:r>
      <w:r>
        <w:rPr>
          <w:rFonts w:ascii="仿宋" w:hAnsi="仿宋" w:eastAsia="仿宋"/>
          <w:b/>
          <w:sz w:val="32"/>
          <w:szCs w:val="32"/>
        </w:rPr>
        <w:t xml:space="preserve">条  </w:t>
      </w:r>
      <w:r>
        <w:rPr>
          <w:rFonts w:hint="eastAsia" w:ascii="仿宋" w:hAnsi="仿宋" w:eastAsia="仿宋" w:cs="宋体"/>
          <w:kern w:val="0"/>
          <w:sz w:val="32"/>
          <w:szCs w:val="32"/>
        </w:rPr>
        <w:t>亚太森林组织奖学金生、校长奖学金生、自费生等，奖学金年度评审工作参照此细则执行。</w:t>
      </w:r>
    </w:p>
    <w:p>
      <w:pPr>
        <w:spacing w:line="600" w:lineRule="exact"/>
        <w:ind w:firstLine="710" w:firstLineChars="221"/>
        <w:rPr>
          <w:rFonts w:ascii="仿宋" w:hAnsi="仿宋" w:eastAsia="仿宋"/>
          <w:b/>
          <w:sz w:val="32"/>
          <w:szCs w:val="32"/>
        </w:rPr>
      </w:pPr>
      <w:r>
        <w:rPr>
          <w:rFonts w:hint="eastAsia" w:ascii="仿宋" w:hAnsi="仿宋" w:eastAsia="仿宋"/>
          <w:b/>
          <w:sz w:val="32"/>
          <w:szCs w:val="32"/>
        </w:rPr>
        <w:t xml:space="preserve">第八条 </w:t>
      </w:r>
      <w:r>
        <w:rPr>
          <w:rFonts w:ascii="仿宋" w:hAnsi="仿宋" w:eastAsia="仿宋" w:cs="宋体"/>
          <w:kern w:val="0"/>
          <w:sz w:val="32"/>
          <w:szCs w:val="32"/>
        </w:rPr>
        <w:t>本</w:t>
      </w:r>
      <w:r>
        <w:rPr>
          <w:rFonts w:hint="eastAsia" w:ascii="仿宋" w:hAnsi="仿宋" w:eastAsia="仿宋" w:cs="宋体"/>
          <w:kern w:val="0"/>
          <w:sz w:val="32"/>
          <w:szCs w:val="32"/>
        </w:rPr>
        <w:t>实施</w:t>
      </w:r>
      <w:r>
        <w:rPr>
          <w:rFonts w:ascii="仿宋" w:hAnsi="仿宋" w:eastAsia="仿宋" w:cs="宋体"/>
          <w:kern w:val="0"/>
          <w:sz w:val="32"/>
          <w:szCs w:val="32"/>
        </w:rPr>
        <w:t>细则由国际学院负责解释。</w:t>
      </w:r>
      <w:bookmarkEnd w:id="1"/>
      <w:bookmarkEnd w:id="2"/>
    </w:p>
    <w:p>
      <w:pPr>
        <w:spacing w:line="600" w:lineRule="exact"/>
        <w:ind w:firstLine="710" w:firstLineChars="221"/>
        <w:rPr>
          <w:rFonts w:ascii="仿宋" w:hAnsi="仿宋" w:eastAsia="仿宋"/>
          <w:b/>
          <w:sz w:val="32"/>
          <w:szCs w:val="32"/>
        </w:rPr>
      </w:pPr>
    </w:p>
    <w:p>
      <w:pPr>
        <w:spacing w:line="600" w:lineRule="exact"/>
        <w:ind w:firstLine="710" w:firstLineChars="221"/>
        <w:rPr>
          <w:rFonts w:ascii="仿宋" w:hAnsi="仿宋" w:eastAsia="仿宋"/>
          <w:b/>
          <w:sz w:val="32"/>
          <w:szCs w:val="32"/>
        </w:rPr>
      </w:pPr>
    </w:p>
    <w:p>
      <w:pPr>
        <w:spacing w:line="600" w:lineRule="exact"/>
        <w:ind w:right="139" w:rightChars="66" w:firstLine="5291" w:firstLineChars="1647"/>
        <w:rPr>
          <w:rFonts w:ascii="仿宋" w:hAnsi="仿宋" w:eastAsia="仿宋"/>
          <w:b/>
          <w:sz w:val="32"/>
          <w:szCs w:val="32"/>
        </w:rPr>
      </w:pPr>
    </w:p>
    <w:p>
      <w:pPr>
        <w:spacing w:line="600" w:lineRule="exact"/>
        <w:ind w:right="139" w:rightChars="66" w:firstLine="5291" w:firstLineChars="1647"/>
        <w:rPr>
          <w:rFonts w:hint="eastAsia" w:ascii="仿宋" w:hAnsi="仿宋" w:eastAsia="仿宋"/>
          <w:b/>
          <w:sz w:val="32"/>
          <w:szCs w:val="32"/>
        </w:rPr>
      </w:pPr>
    </w:p>
    <w:p>
      <w:pPr>
        <w:spacing w:line="600" w:lineRule="exact"/>
        <w:ind w:right="139" w:rightChars="66" w:firstLine="5291" w:firstLineChars="1647"/>
        <w:rPr>
          <w:rFonts w:ascii="仿宋" w:hAnsi="仿宋" w:eastAsia="仿宋"/>
          <w:b/>
          <w:sz w:val="32"/>
          <w:szCs w:val="32"/>
        </w:rPr>
      </w:pPr>
    </w:p>
    <w:p>
      <w:pPr>
        <w:spacing w:line="600" w:lineRule="exact"/>
        <w:ind w:right="139" w:rightChars="66" w:firstLine="5291" w:firstLineChars="1647"/>
        <w:rPr>
          <w:rFonts w:ascii="仿宋" w:hAnsi="仿宋" w:eastAsia="仿宋"/>
          <w:b/>
          <w:sz w:val="32"/>
          <w:szCs w:val="32"/>
        </w:rPr>
      </w:pPr>
    </w:p>
    <w:p>
      <w:pPr>
        <w:spacing w:line="600" w:lineRule="exact"/>
        <w:ind w:right="139" w:rightChars="66" w:firstLine="5291" w:firstLineChars="1647"/>
        <w:rPr>
          <w:rFonts w:ascii="仿宋" w:hAnsi="仿宋" w:eastAsia="仿宋"/>
          <w:b/>
          <w:sz w:val="32"/>
          <w:szCs w:val="32"/>
        </w:rPr>
      </w:pPr>
    </w:p>
    <w:p>
      <w:pPr>
        <w:spacing w:line="600" w:lineRule="exact"/>
        <w:ind w:right="139" w:rightChars="66" w:firstLine="5291" w:firstLineChars="1647"/>
        <w:rPr>
          <w:rFonts w:ascii="仿宋" w:hAnsi="仿宋" w:eastAsia="仿宋"/>
          <w:b/>
          <w:sz w:val="32"/>
          <w:szCs w:val="32"/>
        </w:rPr>
      </w:pPr>
      <w:r>
        <w:rPr>
          <w:rFonts w:hint="eastAsia" w:ascii="仿宋" w:hAnsi="仿宋" w:eastAsia="仿宋"/>
          <w:b/>
          <w:sz w:val="32"/>
          <w:szCs w:val="32"/>
        </w:rPr>
        <w:t>西北农林科技大学</w:t>
      </w:r>
    </w:p>
    <w:p>
      <w:pPr>
        <w:spacing w:line="600" w:lineRule="exact"/>
        <w:ind w:right="139" w:rightChars="66" w:firstLine="5291" w:firstLineChars="1647"/>
        <w:rPr>
          <w:rFonts w:ascii="仿宋" w:hAnsi="仿宋" w:eastAsia="仿宋"/>
          <w:b/>
          <w:sz w:val="32"/>
          <w:szCs w:val="32"/>
        </w:rPr>
      </w:pPr>
      <w:r>
        <w:rPr>
          <w:rFonts w:hint="eastAsia" w:ascii="仿宋" w:hAnsi="仿宋" w:eastAsia="仿宋"/>
          <w:b/>
          <w:sz w:val="32"/>
          <w:szCs w:val="32"/>
        </w:rPr>
        <w:t>2022年4月11日</w:t>
      </w:r>
    </w:p>
    <w:p>
      <w:pPr>
        <w:spacing w:line="560" w:lineRule="exact"/>
        <w:ind w:firstLine="6197" w:firstLineChars="1929"/>
        <w:rPr>
          <w:rFonts w:ascii="仿宋" w:hAnsi="仿宋" w:eastAsia="仿宋"/>
          <w:b/>
          <w:sz w:val="32"/>
          <w:szCs w:val="32"/>
        </w:rPr>
      </w:pPr>
    </w:p>
    <w:sectPr>
      <w:footerReference r:id="rId3" w:type="default"/>
      <w:footerReference r:id="rId4" w:type="even"/>
      <w:pgSz w:w="11906" w:h="16838"/>
      <w:pgMar w:top="1701" w:right="1531" w:bottom="1418" w:left="1588" w:header="851" w:footer="1134" w:gutter="0"/>
      <w:pgNumType w:start="1"/>
      <w:cols w:space="720" w:num="1"/>
      <w:docGrid w:type="line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sz w:val="24"/>
        <w:szCs w:val="24"/>
      </w:rPr>
    </w:pPr>
    <w:r>
      <w:rPr>
        <w:rStyle w:val="24"/>
        <w:sz w:val="24"/>
        <w:szCs w:val="24"/>
      </w:rPr>
      <w:fldChar w:fldCharType="begin"/>
    </w:r>
    <w:r>
      <w:rPr>
        <w:rStyle w:val="24"/>
        <w:sz w:val="24"/>
        <w:szCs w:val="24"/>
      </w:rPr>
      <w:instrText xml:space="preserve">PAGE  </w:instrText>
    </w:r>
    <w:r>
      <w:rPr>
        <w:rStyle w:val="24"/>
        <w:sz w:val="24"/>
        <w:szCs w:val="24"/>
      </w:rPr>
      <w:fldChar w:fldCharType="separate"/>
    </w:r>
    <w:r>
      <w:rPr>
        <w:rStyle w:val="24"/>
        <w:sz w:val="24"/>
        <w:szCs w:val="24"/>
      </w:rPr>
      <w:t>5</w:t>
    </w:r>
    <w:r>
      <w:rPr>
        <w:rStyle w:val="24"/>
        <w:sz w:val="24"/>
        <w:szCs w:val="24"/>
      </w:rPr>
      <w:fldChar w:fldCharType="end"/>
    </w: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sz w:val="24"/>
        <w:szCs w:val="24"/>
      </w:rPr>
    </w:pPr>
    <w:r>
      <w:rPr>
        <w:rStyle w:val="24"/>
        <w:sz w:val="24"/>
        <w:szCs w:val="24"/>
      </w:rPr>
      <w:fldChar w:fldCharType="begin"/>
    </w:r>
    <w:r>
      <w:rPr>
        <w:rStyle w:val="24"/>
        <w:sz w:val="24"/>
        <w:szCs w:val="24"/>
      </w:rPr>
      <w:instrText xml:space="preserve">PAGE  </w:instrText>
    </w:r>
    <w:r>
      <w:rPr>
        <w:rStyle w:val="24"/>
        <w:sz w:val="24"/>
        <w:szCs w:val="24"/>
      </w:rPr>
      <w:fldChar w:fldCharType="separate"/>
    </w:r>
    <w:r>
      <w:rPr>
        <w:rStyle w:val="24"/>
        <w:sz w:val="24"/>
        <w:szCs w:val="24"/>
      </w:rPr>
      <w:t>4</w:t>
    </w:r>
    <w:r>
      <w:rPr>
        <w:rStyle w:val="24"/>
        <w:sz w:val="24"/>
        <w:szCs w:val="24"/>
      </w:rPr>
      <w:fldChar w:fldCharType="end"/>
    </w:r>
  </w:p>
  <w:p>
    <w:pPr>
      <w:pStyle w:val="1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evenAndOddHeaders w:val="1"/>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323E"/>
    <w:rsid w:val="00000CCC"/>
    <w:rsid w:val="00005152"/>
    <w:rsid w:val="00007948"/>
    <w:rsid w:val="000108B8"/>
    <w:rsid w:val="0001192B"/>
    <w:rsid w:val="0001257B"/>
    <w:rsid w:val="00012D2F"/>
    <w:rsid w:val="0001407A"/>
    <w:rsid w:val="00023BE6"/>
    <w:rsid w:val="00027409"/>
    <w:rsid w:val="00027A1E"/>
    <w:rsid w:val="0003371E"/>
    <w:rsid w:val="000363DE"/>
    <w:rsid w:val="0003702E"/>
    <w:rsid w:val="00043B7D"/>
    <w:rsid w:val="00045DDA"/>
    <w:rsid w:val="00047EEA"/>
    <w:rsid w:val="0006361F"/>
    <w:rsid w:val="00065554"/>
    <w:rsid w:val="00065DB9"/>
    <w:rsid w:val="00066481"/>
    <w:rsid w:val="00067C5E"/>
    <w:rsid w:val="00071D87"/>
    <w:rsid w:val="00073A2B"/>
    <w:rsid w:val="00073AE6"/>
    <w:rsid w:val="00080461"/>
    <w:rsid w:val="00080C97"/>
    <w:rsid w:val="00085BA4"/>
    <w:rsid w:val="00091D70"/>
    <w:rsid w:val="00095133"/>
    <w:rsid w:val="000A01E8"/>
    <w:rsid w:val="000A1C9E"/>
    <w:rsid w:val="000A253A"/>
    <w:rsid w:val="000A5721"/>
    <w:rsid w:val="000A68A8"/>
    <w:rsid w:val="000A6997"/>
    <w:rsid w:val="000B0FB8"/>
    <w:rsid w:val="000B351C"/>
    <w:rsid w:val="000B3B27"/>
    <w:rsid w:val="000B7A0F"/>
    <w:rsid w:val="000C3C0E"/>
    <w:rsid w:val="000C724E"/>
    <w:rsid w:val="000D1DA4"/>
    <w:rsid w:val="000D1DFF"/>
    <w:rsid w:val="000D60F8"/>
    <w:rsid w:val="000D61FE"/>
    <w:rsid w:val="000D6B7A"/>
    <w:rsid w:val="000E0006"/>
    <w:rsid w:val="000E26E9"/>
    <w:rsid w:val="000F30F4"/>
    <w:rsid w:val="000F54B7"/>
    <w:rsid w:val="000F55A8"/>
    <w:rsid w:val="000F57D1"/>
    <w:rsid w:val="000F595A"/>
    <w:rsid w:val="001030B5"/>
    <w:rsid w:val="00103841"/>
    <w:rsid w:val="00107180"/>
    <w:rsid w:val="00110D37"/>
    <w:rsid w:val="00121348"/>
    <w:rsid w:val="00124174"/>
    <w:rsid w:val="001277B0"/>
    <w:rsid w:val="001303E9"/>
    <w:rsid w:val="001336CF"/>
    <w:rsid w:val="001339EB"/>
    <w:rsid w:val="00134074"/>
    <w:rsid w:val="001353EA"/>
    <w:rsid w:val="00136919"/>
    <w:rsid w:val="001369EF"/>
    <w:rsid w:val="00136B45"/>
    <w:rsid w:val="001467CD"/>
    <w:rsid w:val="00146C82"/>
    <w:rsid w:val="001514F6"/>
    <w:rsid w:val="00155C75"/>
    <w:rsid w:val="001641C1"/>
    <w:rsid w:val="00164B9D"/>
    <w:rsid w:val="00165E80"/>
    <w:rsid w:val="00170038"/>
    <w:rsid w:val="001705A3"/>
    <w:rsid w:val="00171FBF"/>
    <w:rsid w:val="00173D87"/>
    <w:rsid w:val="0017418E"/>
    <w:rsid w:val="00176179"/>
    <w:rsid w:val="00180444"/>
    <w:rsid w:val="0018376D"/>
    <w:rsid w:val="00184633"/>
    <w:rsid w:val="00186894"/>
    <w:rsid w:val="00192D00"/>
    <w:rsid w:val="0019415F"/>
    <w:rsid w:val="001963FC"/>
    <w:rsid w:val="00197F91"/>
    <w:rsid w:val="001A0D7B"/>
    <w:rsid w:val="001A7A6D"/>
    <w:rsid w:val="001A7ED1"/>
    <w:rsid w:val="001B7960"/>
    <w:rsid w:val="001C1A69"/>
    <w:rsid w:val="001C4BD2"/>
    <w:rsid w:val="001C58A0"/>
    <w:rsid w:val="001C73AF"/>
    <w:rsid w:val="001D1258"/>
    <w:rsid w:val="001D2E70"/>
    <w:rsid w:val="001E0A28"/>
    <w:rsid w:val="001E25D8"/>
    <w:rsid w:val="001E2EAA"/>
    <w:rsid w:val="001E30FD"/>
    <w:rsid w:val="001E42A8"/>
    <w:rsid w:val="001E727A"/>
    <w:rsid w:val="001F4A38"/>
    <w:rsid w:val="0020416F"/>
    <w:rsid w:val="00205D1D"/>
    <w:rsid w:val="00206666"/>
    <w:rsid w:val="00207882"/>
    <w:rsid w:val="002112CE"/>
    <w:rsid w:val="00214CA7"/>
    <w:rsid w:val="00215881"/>
    <w:rsid w:val="00215B54"/>
    <w:rsid w:val="00215B64"/>
    <w:rsid w:val="00215C4C"/>
    <w:rsid w:val="00222335"/>
    <w:rsid w:val="0023137B"/>
    <w:rsid w:val="002313AD"/>
    <w:rsid w:val="00233096"/>
    <w:rsid w:val="00234AA9"/>
    <w:rsid w:val="00241826"/>
    <w:rsid w:val="0024377D"/>
    <w:rsid w:val="00244119"/>
    <w:rsid w:val="00244E2B"/>
    <w:rsid w:val="00246CEA"/>
    <w:rsid w:val="002621A2"/>
    <w:rsid w:val="00265E1E"/>
    <w:rsid w:val="0027055E"/>
    <w:rsid w:val="00270862"/>
    <w:rsid w:val="00272766"/>
    <w:rsid w:val="0027304F"/>
    <w:rsid w:val="0027415C"/>
    <w:rsid w:val="002767EF"/>
    <w:rsid w:val="00277F98"/>
    <w:rsid w:val="00285420"/>
    <w:rsid w:val="00285C2E"/>
    <w:rsid w:val="002909F3"/>
    <w:rsid w:val="002956C1"/>
    <w:rsid w:val="002A1D84"/>
    <w:rsid w:val="002A4450"/>
    <w:rsid w:val="002A4EAC"/>
    <w:rsid w:val="002A51CF"/>
    <w:rsid w:val="002A5B6E"/>
    <w:rsid w:val="002A65F7"/>
    <w:rsid w:val="002B261A"/>
    <w:rsid w:val="002B3DB8"/>
    <w:rsid w:val="002C5FB0"/>
    <w:rsid w:val="002C6937"/>
    <w:rsid w:val="002C6FB5"/>
    <w:rsid w:val="002C7ED2"/>
    <w:rsid w:val="002D1DA3"/>
    <w:rsid w:val="002D502D"/>
    <w:rsid w:val="002D7BC1"/>
    <w:rsid w:val="002E0D94"/>
    <w:rsid w:val="002E22B4"/>
    <w:rsid w:val="002E5048"/>
    <w:rsid w:val="0030109E"/>
    <w:rsid w:val="00302B1B"/>
    <w:rsid w:val="00303406"/>
    <w:rsid w:val="0030503A"/>
    <w:rsid w:val="00305B63"/>
    <w:rsid w:val="0031124A"/>
    <w:rsid w:val="003231DB"/>
    <w:rsid w:val="0032673F"/>
    <w:rsid w:val="00330003"/>
    <w:rsid w:val="00331FE2"/>
    <w:rsid w:val="003409BA"/>
    <w:rsid w:val="00344892"/>
    <w:rsid w:val="00344A97"/>
    <w:rsid w:val="00360258"/>
    <w:rsid w:val="00361362"/>
    <w:rsid w:val="00361ADD"/>
    <w:rsid w:val="0036260A"/>
    <w:rsid w:val="003736DE"/>
    <w:rsid w:val="00374187"/>
    <w:rsid w:val="00375D71"/>
    <w:rsid w:val="00377421"/>
    <w:rsid w:val="003801DF"/>
    <w:rsid w:val="00380EE7"/>
    <w:rsid w:val="0038562B"/>
    <w:rsid w:val="003873A8"/>
    <w:rsid w:val="003903D5"/>
    <w:rsid w:val="00391861"/>
    <w:rsid w:val="00394A22"/>
    <w:rsid w:val="00394C33"/>
    <w:rsid w:val="00397720"/>
    <w:rsid w:val="00397868"/>
    <w:rsid w:val="003A12BA"/>
    <w:rsid w:val="003A199C"/>
    <w:rsid w:val="003A46E5"/>
    <w:rsid w:val="003B046C"/>
    <w:rsid w:val="003B25B2"/>
    <w:rsid w:val="003B26A5"/>
    <w:rsid w:val="003B2872"/>
    <w:rsid w:val="003B502C"/>
    <w:rsid w:val="003B5CC6"/>
    <w:rsid w:val="003B6396"/>
    <w:rsid w:val="003B6C27"/>
    <w:rsid w:val="003C2773"/>
    <w:rsid w:val="003C3366"/>
    <w:rsid w:val="003D1D76"/>
    <w:rsid w:val="003D3435"/>
    <w:rsid w:val="003D679E"/>
    <w:rsid w:val="003E1496"/>
    <w:rsid w:val="003E3B61"/>
    <w:rsid w:val="003E67E3"/>
    <w:rsid w:val="003F3C8B"/>
    <w:rsid w:val="003F4D75"/>
    <w:rsid w:val="003F4F0E"/>
    <w:rsid w:val="003F6A23"/>
    <w:rsid w:val="003F74A7"/>
    <w:rsid w:val="004029B4"/>
    <w:rsid w:val="00402E98"/>
    <w:rsid w:val="00404103"/>
    <w:rsid w:val="00404CF4"/>
    <w:rsid w:val="00406065"/>
    <w:rsid w:val="004119A9"/>
    <w:rsid w:val="004142B3"/>
    <w:rsid w:val="00415C2E"/>
    <w:rsid w:val="004174FE"/>
    <w:rsid w:val="00420DFD"/>
    <w:rsid w:val="0042267E"/>
    <w:rsid w:val="004241F5"/>
    <w:rsid w:val="0042428C"/>
    <w:rsid w:val="004259CA"/>
    <w:rsid w:val="00427B1F"/>
    <w:rsid w:val="00432209"/>
    <w:rsid w:val="00432394"/>
    <w:rsid w:val="00434941"/>
    <w:rsid w:val="00440FB9"/>
    <w:rsid w:val="00443A95"/>
    <w:rsid w:val="00447849"/>
    <w:rsid w:val="00447D2D"/>
    <w:rsid w:val="00450204"/>
    <w:rsid w:val="004524FC"/>
    <w:rsid w:val="0045457F"/>
    <w:rsid w:val="00456D52"/>
    <w:rsid w:val="00461F49"/>
    <w:rsid w:val="00464671"/>
    <w:rsid w:val="00464B3E"/>
    <w:rsid w:val="0047163B"/>
    <w:rsid w:val="0047397B"/>
    <w:rsid w:val="00477340"/>
    <w:rsid w:val="004822AE"/>
    <w:rsid w:val="00483AFF"/>
    <w:rsid w:val="00483E4E"/>
    <w:rsid w:val="00490252"/>
    <w:rsid w:val="00490A95"/>
    <w:rsid w:val="00490D29"/>
    <w:rsid w:val="00491353"/>
    <w:rsid w:val="00494136"/>
    <w:rsid w:val="00494379"/>
    <w:rsid w:val="004953E6"/>
    <w:rsid w:val="00497554"/>
    <w:rsid w:val="00497B5A"/>
    <w:rsid w:val="004A23FA"/>
    <w:rsid w:val="004A30B8"/>
    <w:rsid w:val="004A3C8D"/>
    <w:rsid w:val="004A5CCA"/>
    <w:rsid w:val="004A71AB"/>
    <w:rsid w:val="004B03FD"/>
    <w:rsid w:val="004B4888"/>
    <w:rsid w:val="004B6053"/>
    <w:rsid w:val="004B6872"/>
    <w:rsid w:val="004C46F6"/>
    <w:rsid w:val="004C4748"/>
    <w:rsid w:val="004C5BB1"/>
    <w:rsid w:val="004C734D"/>
    <w:rsid w:val="004C75FC"/>
    <w:rsid w:val="004D22EA"/>
    <w:rsid w:val="004D4046"/>
    <w:rsid w:val="004D79F9"/>
    <w:rsid w:val="004E311D"/>
    <w:rsid w:val="004E32C5"/>
    <w:rsid w:val="004E6FDA"/>
    <w:rsid w:val="004F0EFF"/>
    <w:rsid w:val="004F164D"/>
    <w:rsid w:val="004F25AD"/>
    <w:rsid w:val="0050277B"/>
    <w:rsid w:val="00502DCB"/>
    <w:rsid w:val="00513E5B"/>
    <w:rsid w:val="0051472D"/>
    <w:rsid w:val="00517177"/>
    <w:rsid w:val="005208AF"/>
    <w:rsid w:val="005218CC"/>
    <w:rsid w:val="0052323E"/>
    <w:rsid w:val="0052389F"/>
    <w:rsid w:val="00530096"/>
    <w:rsid w:val="00530E6E"/>
    <w:rsid w:val="00541B48"/>
    <w:rsid w:val="005431B7"/>
    <w:rsid w:val="00544DE5"/>
    <w:rsid w:val="0055267B"/>
    <w:rsid w:val="00552952"/>
    <w:rsid w:val="005532EA"/>
    <w:rsid w:val="005572B4"/>
    <w:rsid w:val="00557DFF"/>
    <w:rsid w:val="00563101"/>
    <w:rsid w:val="00564D91"/>
    <w:rsid w:val="005656D7"/>
    <w:rsid w:val="00566AEB"/>
    <w:rsid w:val="00566BD0"/>
    <w:rsid w:val="00570117"/>
    <w:rsid w:val="00576412"/>
    <w:rsid w:val="0057708A"/>
    <w:rsid w:val="00577A8F"/>
    <w:rsid w:val="00582D9A"/>
    <w:rsid w:val="005832DB"/>
    <w:rsid w:val="005838B9"/>
    <w:rsid w:val="00591277"/>
    <w:rsid w:val="00592637"/>
    <w:rsid w:val="005975B6"/>
    <w:rsid w:val="005A20DD"/>
    <w:rsid w:val="005A5B62"/>
    <w:rsid w:val="005A7386"/>
    <w:rsid w:val="005B022A"/>
    <w:rsid w:val="005B4020"/>
    <w:rsid w:val="005B4A2B"/>
    <w:rsid w:val="005B557D"/>
    <w:rsid w:val="005C3672"/>
    <w:rsid w:val="005C3DDD"/>
    <w:rsid w:val="005C607C"/>
    <w:rsid w:val="005C6C20"/>
    <w:rsid w:val="005D1C56"/>
    <w:rsid w:val="005D22A7"/>
    <w:rsid w:val="005D427C"/>
    <w:rsid w:val="005D4B1F"/>
    <w:rsid w:val="005D5DEE"/>
    <w:rsid w:val="005D77F1"/>
    <w:rsid w:val="005D7B49"/>
    <w:rsid w:val="005E1F4E"/>
    <w:rsid w:val="005E2185"/>
    <w:rsid w:val="005E21CB"/>
    <w:rsid w:val="005E6636"/>
    <w:rsid w:val="005F00D3"/>
    <w:rsid w:val="005F0616"/>
    <w:rsid w:val="005F3CFA"/>
    <w:rsid w:val="005F3F3B"/>
    <w:rsid w:val="005F4793"/>
    <w:rsid w:val="005F551C"/>
    <w:rsid w:val="005F616A"/>
    <w:rsid w:val="006007F4"/>
    <w:rsid w:val="00610C46"/>
    <w:rsid w:val="00615E60"/>
    <w:rsid w:val="00616EC1"/>
    <w:rsid w:val="006171F3"/>
    <w:rsid w:val="0062069B"/>
    <w:rsid w:val="006209B6"/>
    <w:rsid w:val="006222B0"/>
    <w:rsid w:val="00623C74"/>
    <w:rsid w:val="00625F46"/>
    <w:rsid w:val="00626AF5"/>
    <w:rsid w:val="0062705A"/>
    <w:rsid w:val="006279AB"/>
    <w:rsid w:val="00636128"/>
    <w:rsid w:val="00640A7F"/>
    <w:rsid w:val="0064259C"/>
    <w:rsid w:val="00642613"/>
    <w:rsid w:val="00642D6B"/>
    <w:rsid w:val="00644615"/>
    <w:rsid w:val="00650CA6"/>
    <w:rsid w:val="00651EF3"/>
    <w:rsid w:val="00656A12"/>
    <w:rsid w:val="0066245D"/>
    <w:rsid w:val="006630EF"/>
    <w:rsid w:val="00663263"/>
    <w:rsid w:val="00666286"/>
    <w:rsid w:val="00666E7B"/>
    <w:rsid w:val="00670348"/>
    <w:rsid w:val="00673E40"/>
    <w:rsid w:val="00676D17"/>
    <w:rsid w:val="00680C29"/>
    <w:rsid w:val="0068148B"/>
    <w:rsid w:val="00682C39"/>
    <w:rsid w:val="0068420A"/>
    <w:rsid w:val="00686EF3"/>
    <w:rsid w:val="0069227F"/>
    <w:rsid w:val="00695FD6"/>
    <w:rsid w:val="00697F60"/>
    <w:rsid w:val="006A0D5B"/>
    <w:rsid w:val="006A2AA7"/>
    <w:rsid w:val="006A5AAA"/>
    <w:rsid w:val="006B02E3"/>
    <w:rsid w:val="006B197B"/>
    <w:rsid w:val="006B47B1"/>
    <w:rsid w:val="006B4A5A"/>
    <w:rsid w:val="006B4DC5"/>
    <w:rsid w:val="006C10A1"/>
    <w:rsid w:val="006C179B"/>
    <w:rsid w:val="006C3381"/>
    <w:rsid w:val="006C7B01"/>
    <w:rsid w:val="006D105B"/>
    <w:rsid w:val="006D5314"/>
    <w:rsid w:val="006E1879"/>
    <w:rsid w:val="006E33C6"/>
    <w:rsid w:val="006E572B"/>
    <w:rsid w:val="006E79C6"/>
    <w:rsid w:val="006F2105"/>
    <w:rsid w:val="006F3625"/>
    <w:rsid w:val="006F41B6"/>
    <w:rsid w:val="006F512B"/>
    <w:rsid w:val="006F77EA"/>
    <w:rsid w:val="007015B8"/>
    <w:rsid w:val="00711FED"/>
    <w:rsid w:val="00712EDE"/>
    <w:rsid w:val="007149D0"/>
    <w:rsid w:val="0071560E"/>
    <w:rsid w:val="00715A3A"/>
    <w:rsid w:val="0072140C"/>
    <w:rsid w:val="00721C8A"/>
    <w:rsid w:val="007241DC"/>
    <w:rsid w:val="00724C6A"/>
    <w:rsid w:val="00726153"/>
    <w:rsid w:val="007262D7"/>
    <w:rsid w:val="00727D47"/>
    <w:rsid w:val="00732EA7"/>
    <w:rsid w:val="00736610"/>
    <w:rsid w:val="0073779C"/>
    <w:rsid w:val="0074035E"/>
    <w:rsid w:val="00742EEE"/>
    <w:rsid w:val="0074351F"/>
    <w:rsid w:val="007437A5"/>
    <w:rsid w:val="007468C8"/>
    <w:rsid w:val="007475D1"/>
    <w:rsid w:val="00751F1C"/>
    <w:rsid w:val="00752FBF"/>
    <w:rsid w:val="007546AB"/>
    <w:rsid w:val="00755442"/>
    <w:rsid w:val="00755CC3"/>
    <w:rsid w:val="00762614"/>
    <w:rsid w:val="007651D6"/>
    <w:rsid w:val="00770631"/>
    <w:rsid w:val="00771B92"/>
    <w:rsid w:val="007813D3"/>
    <w:rsid w:val="00781948"/>
    <w:rsid w:val="007839FF"/>
    <w:rsid w:val="00786839"/>
    <w:rsid w:val="00790116"/>
    <w:rsid w:val="00791D35"/>
    <w:rsid w:val="00792792"/>
    <w:rsid w:val="00794A99"/>
    <w:rsid w:val="00796905"/>
    <w:rsid w:val="007A08BB"/>
    <w:rsid w:val="007A0E24"/>
    <w:rsid w:val="007A17E1"/>
    <w:rsid w:val="007B1D2A"/>
    <w:rsid w:val="007B3A1F"/>
    <w:rsid w:val="007B40DB"/>
    <w:rsid w:val="007C1479"/>
    <w:rsid w:val="007C1DA9"/>
    <w:rsid w:val="007C2D0A"/>
    <w:rsid w:val="007C5CB6"/>
    <w:rsid w:val="007D1778"/>
    <w:rsid w:val="007D58F1"/>
    <w:rsid w:val="007D6B37"/>
    <w:rsid w:val="007E2FD4"/>
    <w:rsid w:val="007E4913"/>
    <w:rsid w:val="007E6824"/>
    <w:rsid w:val="007E698F"/>
    <w:rsid w:val="007E724A"/>
    <w:rsid w:val="007F1B67"/>
    <w:rsid w:val="007F3629"/>
    <w:rsid w:val="007F642F"/>
    <w:rsid w:val="00800450"/>
    <w:rsid w:val="00800BB8"/>
    <w:rsid w:val="00800C0C"/>
    <w:rsid w:val="00801D1A"/>
    <w:rsid w:val="00802780"/>
    <w:rsid w:val="00803699"/>
    <w:rsid w:val="00805988"/>
    <w:rsid w:val="0080724D"/>
    <w:rsid w:val="00807849"/>
    <w:rsid w:val="00810F6F"/>
    <w:rsid w:val="00811BB7"/>
    <w:rsid w:val="00813F9F"/>
    <w:rsid w:val="00823683"/>
    <w:rsid w:val="008236A9"/>
    <w:rsid w:val="008245F7"/>
    <w:rsid w:val="00825ED3"/>
    <w:rsid w:val="00827628"/>
    <w:rsid w:val="00833A9B"/>
    <w:rsid w:val="00834392"/>
    <w:rsid w:val="008355BB"/>
    <w:rsid w:val="00835893"/>
    <w:rsid w:val="00836024"/>
    <w:rsid w:val="00836D86"/>
    <w:rsid w:val="00836DBD"/>
    <w:rsid w:val="00844D92"/>
    <w:rsid w:val="008456D4"/>
    <w:rsid w:val="00854BB2"/>
    <w:rsid w:val="00854E06"/>
    <w:rsid w:val="00856205"/>
    <w:rsid w:val="00856560"/>
    <w:rsid w:val="00857772"/>
    <w:rsid w:val="00861228"/>
    <w:rsid w:val="00862FE2"/>
    <w:rsid w:val="00864612"/>
    <w:rsid w:val="00867F65"/>
    <w:rsid w:val="0087002B"/>
    <w:rsid w:val="0087042C"/>
    <w:rsid w:val="0087289A"/>
    <w:rsid w:val="00874DA3"/>
    <w:rsid w:val="00893297"/>
    <w:rsid w:val="00896631"/>
    <w:rsid w:val="008A0874"/>
    <w:rsid w:val="008A0900"/>
    <w:rsid w:val="008A4C3D"/>
    <w:rsid w:val="008A4C82"/>
    <w:rsid w:val="008B3363"/>
    <w:rsid w:val="008B74BA"/>
    <w:rsid w:val="008C2E32"/>
    <w:rsid w:val="008C6A53"/>
    <w:rsid w:val="008C720A"/>
    <w:rsid w:val="008C73F4"/>
    <w:rsid w:val="008D04FC"/>
    <w:rsid w:val="008D0B6E"/>
    <w:rsid w:val="008D216F"/>
    <w:rsid w:val="008D41A3"/>
    <w:rsid w:val="008D5782"/>
    <w:rsid w:val="008E0148"/>
    <w:rsid w:val="008E02DA"/>
    <w:rsid w:val="008E2149"/>
    <w:rsid w:val="008E2C87"/>
    <w:rsid w:val="008E371C"/>
    <w:rsid w:val="008E430E"/>
    <w:rsid w:val="008F0ACF"/>
    <w:rsid w:val="008F138C"/>
    <w:rsid w:val="008F34D9"/>
    <w:rsid w:val="008F44B6"/>
    <w:rsid w:val="008F48C5"/>
    <w:rsid w:val="008F5CE3"/>
    <w:rsid w:val="0090697A"/>
    <w:rsid w:val="0090740C"/>
    <w:rsid w:val="0091220B"/>
    <w:rsid w:val="00917D6D"/>
    <w:rsid w:val="00920181"/>
    <w:rsid w:val="009307F5"/>
    <w:rsid w:val="009309B9"/>
    <w:rsid w:val="00931DED"/>
    <w:rsid w:val="00932C61"/>
    <w:rsid w:val="009341FF"/>
    <w:rsid w:val="00935ABF"/>
    <w:rsid w:val="009364B8"/>
    <w:rsid w:val="00946292"/>
    <w:rsid w:val="009474EE"/>
    <w:rsid w:val="00951181"/>
    <w:rsid w:val="00953AB4"/>
    <w:rsid w:val="00954D5E"/>
    <w:rsid w:val="00956DBB"/>
    <w:rsid w:val="00961841"/>
    <w:rsid w:val="00963700"/>
    <w:rsid w:val="00964EB9"/>
    <w:rsid w:val="00970AAF"/>
    <w:rsid w:val="009721F0"/>
    <w:rsid w:val="0097265E"/>
    <w:rsid w:val="009756AE"/>
    <w:rsid w:val="00975D8A"/>
    <w:rsid w:val="0098093A"/>
    <w:rsid w:val="00987478"/>
    <w:rsid w:val="009909B4"/>
    <w:rsid w:val="00996FEE"/>
    <w:rsid w:val="009A2FBB"/>
    <w:rsid w:val="009A605E"/>
    <w:rsid w:val="009B02E8"/>
    <w:rsid w:val="009B181C"/>
    <w:rsid w:val="009B377A"/>
    <w:rsid w:val="009C5FD0"/>
    <w:rsid w:val="009D31DE"/>
    <w:rsid w:val="009D770D"/>
    <w:rsid w:val="009E18F7"/>
    <w:rsid w:val="009E1E9F"/>
    <w:rsid w:val="009E1FD5"/>
    <w:rsid w:val="009E2071"/>
    <w:rsid w:val="009E5314"/>
    <w:rsid w:val="009E739E"/>
    <w:rsid w:val="009F1EE4"/>
    <w:rsid w:val="009F3956"/>
    <w:rsid w:val="009F3B5E"/>
    <w:rsid w:val="009F3F43"/>
    <w:rsid w:val="009F4A93"/>
    <w:rsid w:val="009F5CD2"/>
    <w:rsid w:val="00A06B61"/>
    <w:rsid w:val="00A07897"/>
    <w:rsid w:val="00A1007E"/>
    <w:rsid w:val="00A14523"/>
    <w:rsid w:val="00A17B96"/>
    <w:rsid w:val="00A17C32"/>
    <w:rsid w:val="00A21F73"/>
    <w:rsid w:val="00A238A9"/>
    <w:rsid w:val="00A24971"/>
    <w:rsid w:val="00A2516F"/>
    <w:rsid w:val="00A26004"/>
    <w:rsid w:val="00A322CE"/>
    <w:rsid w:val="00A346E0"/>
    <w:rsid w:val="00A36DB1"/>
    <w:rsid w:val="00A40443"/>
    <w:rsid w:val="00A46323"/>
    <w:rsid w:val="00A474A2"/>
    <w:rsid w:val="00A62BA2"/>
    <w:rsid w:val="00A67023"/>
    <w:rsid w:val="00A67C14"/>
    <w:rsid w:val="00A71007"/>
    <w:rsid w:val="00A72465"/>
    <w:rsid w:val="00A775F5"/>
    <w:rsid w:val="00A80503"/>
    <w:rsid w:val="00A81D84"/>
    <w:rsid w:val="00A83A73"/>
    <w:rsid w:val="00A83F0B"/>
    <w:rsid w:val="00A84840"/>
    <w:rsid w:val="00A85827"/>
    <w:rsid w:val="00A85BDE"/>
    <w:rsid w:val="00A8696F"/>
    <w:rsid w:val="00A874C6"/>
    <w:rsid w:val="00A95B8C"/>
    <w:rsid w:val="00A96965"/>
    <w:rsid w:val="00AA0571"/>
    <w:rsid w:val="00AA4A4E"/>
    <w:rsid w:val="00AA5256"/>
    <w:rsid w:val="00AA79E3"/>
    <w:rsid w:val="00AB021C"/>
    <w:rsid w:val="00AB26DE"/>
    <w:rsid w:val="00AB293F"/>
    <w:rsid w:val="00AB4941"/>
    <w:rsid w:val="00AB75F5"/>
    <w:rsid w:val="00AC19C6"/>
    <w:rsid w:val="00AC1BB5"/>
    <w:rsid w:val="00AC36D4"/>
    <w:rsid w:val="00AC6F88"/>
    <w:rsid w:val="00AC778B"/>
    <w:rsid w:val="00AC7ACA"/>
    <w:rsid w:val="00AD1924"/>
    <w:rsid w:val="00AE3587"/>
    <w:rsid w:val="00AE5260"/>
    <w:rsid w:val="00AF01E1"/>
    <w:rsid w:val="00AF23CD"/>
    <w:rsid w:val="00AF3030"/>
    <w:rsid w:val="00AF49C1"/>
    <w:rsid w:val="00B0013B"/>
    <w:rsid w:val="00B0651C"/>
    <w:rsid w:val="00B106E7"/>
    <w:rsid w:val="00B10AC0"/>
    <w:rsid w:val="00B12F6C"/>
    <w:rsid w:val="00B14DED"/>
    <w:rsid w:val="00B157B7"/>
    <w:rsid w:val="00B168E9"/>
    <w:rsid w:val="00B176F3"/>
    <w:rsid w:val="00B207E5"/>
    <w:rsid w:val="00B2094D"/>
    <w:rsid w:val="00B20CD8"/>
    <w:rsid w:val="00B22F73"/>
    <w:rsid w:val="00B22FDA"/>
    <w:rsid w:val="00B24A42"/>
    <w:rsid w:val="00B26FC2"/>
    <w:rsid w:val="00B307BF"/>
    <w:rsid w:val="00B32CFF"/>
    <w:rsid w:val="00B330C0"/>
    <w:rsid w:val="00B36298"/>
    <w:rsid w:val="00B434EF"/>
    <w:rsid w:val="00B43B68"/>
    <w:rsid w:val="00B43EF7"/>
    <w:rsid w:val="00B46C69"/>
    <w:rsid w:val="00B53108"/>
    <w:rsid w:val="00B53956"/>
    <w:rsid w:val="00B56FE2"/>
    <w:rsid w:val="00B6505A"/>
    <w:rsid w:val="00B65189"/>
    <w:rsid w:val="00B67696"/>
    <w:rsid w:val="00B70851"/>
    <w:rsid w:val="00B71D6D"/>
    <w:rsid w:val="00B7375E"/>
    <w:rsid w:val="00B743C6"/>
    <w:rsid w:val="00B80A16"/>
    <w:rsid w:val="00B80B90"/>
    <w:rsid w:val="00B82F76"/>
    <w:rsid w:val="00B83F41"/>
    <w:rsid w:val="00B86B65"/>
    <w:rsid w:val="00B87BAA"/>
    <w:rsid w:val="00B93BA5"/>
    <w:rsid w:val="00B96474"/>
    <w:rsid w:val="00B96E69"/>
    <w:rsid w:val="00B96EA0"/>
    <w:rsid w:val="00B97021"/>
    <w:rsid w:val="00BA443A"/>
    <w:rsid w:val="00BA6C0A"/>
    <w:rsid w:val="00BA784A"/>
    <w:rsid w:val="00BB5F75"/>
    <w:rsid w:val="00BB7A91"/>
    <w:rsid w:val="00BC0386"/>
    <w:rsid w:val="00BC121F"/>
    <w:rsid w:val="00BC304C"/>
    <w:rsid w:val="00BC3307"/>
    <w:rsid w:val="00BC3DED"/>
    <w:rsid w:val="00BC4A02"/>
    <w:rsid w:val="00BC6065"/>
    <w:rsid w:val="00BC616E"/>
    <w:rsid w:val="00BC7CBB"/>
    <w:rsid w:val="00BD1513"/>
    <w:rsid w:val="00BD2A59"/>
    <w:rsid w:val="00BD53C8"/>
    <w:rsid w:val="00BD5854"/>
    <w:rsid w:val="00BD5DDB"/>
    <w:rsid w:val="00BD6504"/>
    <w:rsid w:val="00BD7073"/>
    <w:rsid w:val="00BD7289"/>
    <w:rsid w:val="00BE072A"/>
    <w:rsid w:val="00BE384E"/>
    <w:rsid w:val="00BE7177"/>
    <w:rsid w:val="00BE7664"/>
    <w:rsid w:val="00BE7ADC"/>
    <w:rsid w:val="00BF6692"/>
    <w:rsid w:val="00BF6DFD"/>
    <w:rsid w:val="00C00C89"/>
    <w:rsid w:val="00C03D1C"/>
    <w:rsid w:val="00C07697"/>
    <w:rsid w:val="00C07EF1"/>
    <w:rsid w:val="00C1082D"/>
    <w:rsid w:val="00C11834"/>
    <w:rsid w:val="00C13BF1"/>
    <w:rsid w:val="00C16EBA"/>
    <w:rsid w:val="00C1706F"/>
    <w:rsid w:val="00C213B8"/>
    <w:rsid w:val="00C22FD5"/>
    <w:rsid w:val="00C23F60"/>
    <w:rsid w:val="00C26498"/>
    <w:rsid w:val="00C316FE"/>
    <w:rsid w:val="00C32A21"/>
    <w:rsid w:val="00C32C81"/>
    <w:rsid w:val="00C33037"/>
    <w:rsid w:val="00C3330F"/>
    <w:rsid w:val="00C33C0D"/>
    <w:rsid w:val="00C3450F"/>
    <w:rsid w:val="00C35A7E"/>
    <w:rsid w:val="00C35EB6"/>
    <w:rsid w:val="00C53976"/>
    <w:rsid w:val="00C55BF8"/>
    <w:rsid w:val="00C5673B"/>
    <w:rsid w:val="00C60DC8"/>
    <w:rsid w:val="00C61E24"/>
    <w:rsid w:val="00C6400D"/>
    <w:rsid w:val="00C71B5F"/>
    <w:rsid w:val="00C722E0"/>
    <w:rsid w:val="00C73B75"/>
    <w:rsid w:val="00C747A1"/>
    <w:rsid w:val="00C75E3F"/>
    <w:rsid w:val="00C76C87"/>
    <w:rsid w:val="00C87346"/>
    <w:rsid w:val="00C94C1F"/>
    <w:rsid w:val="00C9571D"/>
    <w:rsid w:val="00C97F11"/>
    <w:rsid w:val="00CA14BC"/>
    <w:rsid w:val="00CA26BE"/>
    <w:rsid w:val="00CA29CD"/>
    <w:rsid w:val="00CA2E43"/>
    <w:rsid w:val="00CA37C9"/>
    <w:rsid w:val="00CA54F1"/>
    <w:rsid w:val="00CA571B"/>
    <w:rsid w:val="00CA7899"/>
    <w:rsid w:val="00CB1C1E"/>
    <w:rsid w:val="00CB54D5"/>
    <w:rsid w:val="00CB5CF7"/>
    <w:rsid w:val="00CB6FA8"/>
    <w:rsid w:val="00CC0259"/>
    <w:rsid w:val="00CC0D64"/>
    <w:rsid w:val="00CC715D"/>
    <w:rsid w:val="00CC78B1"/>
    <w:rsid w:val="00CD36D2"/>
    <w:rsid w:val="00CD51FF"/>
    <w:rsid w:val="00CE0EC9"/>
    <w:rsid w:val="00CE3B2B"/>
    <w:rsid w:val="00CE747F"/>
    <w:rsid w:val="00CF1B8B"/>
    <w:rsid w:val="00CF685F"/>
    <w:rsid w:val="00CF7196"/>
    <w:rsid w:val="00CF7295"/>
    <w:rsid w:val="00D02917"/>
    <w:rsid w:val="00D03212"/>
    <w:rsid w:val="00D05214"/>
    <w:rsid w:val="00D07EFA"/>
    <w:rsid w:val="00D10090"/>
    <w:rsid w:val="00D10A73"/>
    <w:rsid w:val="00D11815"/>
    <w:rsid w:val="00D17BE8"/>
    <w:rsid w:val="00D2217A"/>
    <w:rsid w:val="00D243D8"/>
    <w:rsid w:val="00D25170"/>
    <w:rsid w:val="00D27E16"/>
    <w:rsid w:val="00D3008E"/>
    <w:rsid w:val="00D355E9"/>
    <w:rsid w:val="00D37540"/>
    <w:rsid w:val="00D42AB8"/>
    <w:rsid w:val="00D47231"/>
    <w:rsid w:val="00D50698"/>
    <w:rsid w:val="00D507B5"/>
    <w:rsid w:val="00D50F8A"/>
    <w:rsid w:val="00D54420"/>
    <w:rsid w:val="00D55D4B"/>
    <w:rsid w:val="00D56075"/>
    <w:rsid w:val="00D60838"/>
    <w:rsid w:val="00D639A5"/>
    <w:rsid w:val="00D63BFB"/>
    <w:rsid w:val="00D6479E"/>
    <w:rsid w:val="00D675D3"/>
    <w:rsid w:val="00D70103"/>
    <w:rsid w:val="00D710CC"/>
    <w:rsid w:val="00D80063"/>
    <w:rsid w:val="00D81C72"/>
    <w:rsid w:val="00D84258"/>
    <w:rsid w:val="00D86216"/>
    <w:rsid w:val="00D922DE"/>
    <w:rsid w:val="00D94130"/>
    <w:rsid w:val="00D94E5D"/>
    <w:rsid w:val="00D967D5"/>
    <w:rsid w:val="00D97914"/>
    <w:rsid w:val="00D97D61"/>
    <w:rsid w:val="00DA100C"/>
    <w:rsid w:val="00DA176A"/>
    <w:rsid w:val="00DA33CC"/>
    <w:rsid w:val="00DA4E4D"/>
    <w:rsid w:val="00DA5D31"/>
    <w:rsid w:val="00DA63F3"/>
    <w:rsid w:val="00DB0DBC"/>
    <w:rsid w:val="00DB0F00"/>
    <w:rsid w:val="00DC0E36"/>
    <w:rsid w:val="00DC1BB8"/>
    <w:rsid w:val="00DC58ED"/>
    <w:rsid w:val="00DC632C"/>
    <w:rsid w:val="00DD07A4"/>
    <w:rsid w:val="00DD2D96"/>
    <w:rsid w:val="00DD4380"/>
    <w:rsid w:val="00DD64EA"/>
    <w:rsid w:val="00DF355C"/>
    <w:rsid w:val="00DF5B29"/>
    <w:rsid w:val="00DF617C"/>
    <w:rsid w:val="00E14161"/>
    <w:rsid w:val="00E148F0"/>
    <w:rsid w:val="00E149CB"/>
    <w:rsid w:val="00E21919"/>
    <w:rsid w:val="00E34B9E"/>
    <w:rsid w:val="00E35613"/>
    <w:rsid w:val="00E357F9"/>
    <w:rsid w:val="00E36A3F"/>
    <w:rsid w:val="00E40EC0"/>
    <w:rsid w:val="00E43107"/>
    <w:rsid w:val="00E50F54"/>
    <w:rsid w:val="00E5347C"/>
    <w:rsid w:val="00E55C81"/>
    <w:rsid w:val="00E56204"/>
    <w:rsid w:val="00E56AFA"/>
    <w:rsid w:val="00E57721"/>
    <w:rsid w:val="00E57AFF"/>
    <w:rsid w:val="00E6058C"/>
    <w:rsid w:val="00E642CB"/>
    <w:rsid w:val="00E65D08"/>
    <w:rsid w:val="00E674F8"/>
    <w:rsid w:val="00E82F10"/>
    <w:rsid w:val="00E87B28"/>
    <w:rsid w:val="00E90B31"/>
    <w:rsid w:val="00E960F7"/>
    <w:rsid w:val="00E9684F"/>
    <w:rsid w:val="00EA05F6"/>
    <w:rsid w:val="00EA1EC2"/>
    <w:rsid w:val="00EA56C0"/>
    <w:rsid w:val="00EB45C1"/>
    <w:rsid w:val="00EB4815"/>
    <w:rsid w:val="00EB50B4"/>
    <w:rsid w:val="00EB5597"/>
    <w:rsid w:val="00EC2948"/>
    <w:rsid w:val="00EC29BE"/>
    <w:rsid w:val="00EC5EC1"/>
    <w:rsid w:val="00EC7325"/>
    <w:rsid w:val="00ED294A"/>
    <w:rsid w:val="00ED2E4C"/>
    <w:rsid w:val="00ED57F4"/>
    <w:rsid w:val="00ED5C36"/>
    <w:rsid w:val="00EE0C4F"/>
    <w:rsid w:val="00EE1EF3"/>
    <w:rsid w:val="00EE2B36"/>
    <w:rsid w:val="00EE799B"/>
    <w:rsid w:val="00EF0758"/>
    <w:rsid w:val="00EF5451"/>
    <w:rsid w:val="00EF61CA"/>
    <w:rsid w:val="00F02591"/>
    <w:rsid w:val="00F031D4"/>
    <w:rsid w:val="00F034B5"/>
    <w:rsid w:val="00F0465F"/>
    <w:rsid w:val="00F06F87"/>
    <w:rsid w:val="00F10578"/>
    <w:rsid w:val="00F12AC5"/>
    <w:rsid w:val="00F167EA"/>
    <w:rsid w:val="00F16FAB"/>
    <w:rsid w:val="00F21D32"/>
    <w:rsid w:val="00F223E3"/>
    <w:rsid w:val="00F32FBB"/>
    <w:rsid w:val="00F3562D"/>
    <w:rsid w:val="00F3689C"/>
    <w:rsid w:val="00F4028E"/>
    <w:rsid w:val="00F42408"/>
    <w:rsid w:val="00F43F75"/>
    <w:rsid w:val="00F452A3"/>
    <w:rsid w:val="00F47862"/>
    <w:rsid w:val="00F504CA"/>
    <w:rsid w:val="00F51E70"/>
    <w:rsid w:val="00F52415"/>
    <w:rsid w:val="00F5557C"/>
    <w:rsid w:val="00F56CAE"/>
    <w:rsid w:val="00F61112"/>
    <w:rsid w:val="00F62351"/>
    <w:rsid w:val="00F630F1"/>
    <w:rsid w:val="00F63DF7"/>
    <w:rsid w:val="00F649A1"/>
    <w:rsid w:val="00F72992"/>
    <w:rsid w:val="00F76C6E"/>
    <w:rsid w:val="00F76CDE"/>
    <w:rsid w:val="00F803EA"/>
    <w:rsid w:val="00F870C5"/>
    <w:rsid w:val="00F90906"/>
    <w:rsid w:val="00F94EE6"/>
    <w:rsid w:val="00F956D3"/>
    <w:rsid w:val="00F96CBB"/>
    <w:rsid w:val="00FA12CC"/>
    <w:rsid w:val="00FA7331"/>
    <w:rsid w:val="00FA7978"/>
    <w:rsid w:val="00FB6B33"/>
    <w:rsid w:val="00FB6EB5"/>
    <w:rsid w:val="00FB7E35"/>
    <w:rsid w:val="00FC10AC"/>
    <w:rsid w:val="00FC16C2"/>
    <w:rsid w:val="00FC2816"/>
    <w:rsid w:val="00FC29A6"/>
    <w:rsid w:val="00FC5C38"/>
    <w:rsid w:val="00FC7112"/>
    <w:rsid w:val="00FD3D88"/>
    <w:rsid w:val="00FE26ED"/>
    <w:rsid w:val="00FE27AD"/>
    <w:rsid w:val="00FE3E46"/>
    <w:rsid w:val="00FE5856"/>
    <w:rsid w:val="00FF1097"/>
    <w:rsid w:val="00FF4B1E"/>
    <w:rsid w:val="00FF6CE7"/>
    <w:rsid w:val="00FF708B"/>
    <w:rsid w:val="00FF7E98"/>
    <w:rsid w:val="22814615"/>
    <w:rsid w:val="22C202FF"/>
    <w:rsid w:val="4DAE6A14"/>
    <w:rsid w:val="6FFE4B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spacing w:beforeLines="150" w:afterLines="100"/>
      <w:jc w:val="center"/>
      <w:outlineLvl w:val="0"/>
    </w:pPr>
    <w:rPr>
      <w:rFonts w:ascii="黑体" w:hAnsi="黑体" w:eastAsia="黑体"/>
      <w:bCs/>
      <w:kern w:val="0"/>
      <w:sz w:val="44"/>
      <w:szCs w:val="44"/>
    </w:rPr>
  </w:style>
  <w:style w:type="paragraph" w:styleId="3">
    <w:name w:val="heading 2"/>
    <w:basedOn w:val="1"/>
    <w:next w:val="1"/>
    <w:link w:val="28"/>
    <w:qFormat/>
    <w:uiPriority w:val="0"/>
    <w:pPr>
      <w:keepNext/>
      <w:keepLines/>
      <w:spacing w:beforeLines="100" w:afterLines="100" w:line="360" w:lineRule="auto"/>
      <w:contextualSpacing/>
      <w:jc w:val="center"/>
      <w:outlineLvl w:val="1"/>
    </w:pPr>
    <w:rPr>
      <w:rFonts w:ascii="黑体" w:hAnsi="Arial" w:eastAsia="黑体"/>
      <w:bCs/>
      <w:kern w:val="0"/>
      <w:sz w:val="36"/>
      <w:szCs w:val="36"/>
    </w:rPr>
  </w:style>
  <w:style w:type="paragraph" w:styleId="4">
    <w:name w:val="heading 3"/>
    <w:basedOn w:val="1"/>
    <w:next w:val="1"/>
    <w:link w:val="29"/>
    <w:qFormat/>
    <w:uiPriority w:val="0"/>
    <w:pPr>
      <w:keepNext/>
      <w:keepLines/>
      <w:spacing w:before="48" w:after="48"/>
      <w:jc w:val="center"/>
      <w:outlineLvl w:val="2"/>
    </w:pPr>
    <w:rPr>
      <w:rFonts w:eastAsia="黑体"/>
      <w:bCs/>
      <w:sz w:val="30"/>
      <w:szCs w:val="30"/>
    </w:rPr>
  </w:style>
  <w:style w:type="paragraph" w:styleId="5">
    <w:name w:val="heading 4"/>
    <w:basedOn w:val="1"/>
    <w:next w:val="1"/>
    <w:link w:val="30"/>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6">
    <w:name w:val="Document Map"/>
    <w:basedOn w:val="1"/>
    <w:semiHidden/>
    <w:qFormat/>
    <w:uiPriority w:val="0"/>
    <w:pPr>
      <w:shd w:val="clear" w:color="auto" w:fill="000080"/>
    </w:pPr>
  </w:style>
  <w:style w:type="paragraph" w:styleId="7">
    <w:name w:val="annotation text"/>
    <w:basedOn w:val="1"/>
    <w:link w:val="31"/>
    <w:unhideWhenUsed/>
    <w:qFormat/>
    <w:uiPriority w:val="0"/>
    <w:pPr>
      <w:jc w:val="left"/>
    </w:pPr>
  </w:style>
  <w:style w:type="paragraph" w:styleId="8">
    <w:name w:val="Body Text"/>
    <w:basedOn w:val="1"/>
    <w:link w:val="32"/>
    <w:qFormat/>
    <w:uiPriority w:val="0"/>
    <w:rPr>
      <w:sz w:val="28"/>
      <w:szCs w:val="20"/>
    </w:rPr>
  </w:style>
  <w:style w:type="paragraph" w:styleId="9">
    <w:name w:val="Body Text Indent"/>
    <w:basedOn w:val="1"/>
    <w:link w:val="33"/>
    <w:qFormat/>
    <w:uiPriority w:val="0"/>
    <w:pPr>
      <w:ind w:firstLine="576"/>
    </w:pPr>
    <w:rPr>
      <w:sz w:val="28"/>
      <w:szCs w:val="20"/>
    </w:rPr>
  </w:style>
  <w:style w:type="paragraph" w:styleId="10">
    <w:name w:val="toc 3"/>
    <w:basedOn w:val="1"/>
    <w:next w:val="1"/>
    <w:semiHidden/>
    <w:qFormat/>
    <w:uiPriority w:val="0"/>
    <w:pPr>
      <w:ind w:left="840" w:leftChars="400"/>
    </w:pPr>
  </w:style>
  <w:style w:type="paragraph" w:styleId="11">
    <w:name w:val="Plain Text"/>
    <w:basedOn w:val="1"/>
    <w:link w:val="34"/>
    <w:qFormat/>
    <w:uiPriority w:val="0"/>
    <w:rPr>
      <w:rFonts w:ascii="宋体" w:hAnsi="Courier New"/>
      <w:szCs w:val="20"/>
    </w:rPr>
  </w:style>
  <w:style w:type="paragraph" w:styleId="12">
    <w:name w:val="Date"/>
    <w:basedOn w:val="1"/>
    <w:next w:val="1"/>
    <w:link w:val="35"/>
    <w:qFormat/>
    <w:uiPriority w:val="0"/>
    <w:pPr>
      <w:ind w:left="100" w:leftChars="2500"/>
    </w:pPr>
  </w:style>
  <w:style w:type="paragraph" w:styleId="13">
    <w:name w:val="Balloon Text"/>
    <w:basedOn w:val="1"/>
    <w:link w:val="36"/>
    <w:semiHidden/>
    <w:qFormat/>
    <w:uiPriority w:val="0"/>
    <w:rPr>
      <w:sz w:val="18"/>
      <w:szCs w:val="18"/>
    </w:rPr>
  </w:style>
  <w:style w:type="paragraph" w:styleId="14">
    <w:name w:val="footer"/>
    <w:basedOn w:val="1"/>
    <w:link w:val="37"/>
    <w:unhideWhenUsed/>
    <w:qFormat/>
    <w:uiPriority w:val="0"/>
    <w:pPr>
      <w:tabs>
        <w:tab w:val="center" w:pos="4153"/>
        <w:tab w:val="right" w:pos="8306"/>
      </w:tabs>
      <w:snapToGrid w:val="0"/>
      <w:jc w:val="left"/>
    </w:pPr>
    <w:rPr>
      <w:sz w:val="18"/>
      <w:szCs w:val="18"/>
    </w:rPr>
  </w:style>
  <w:style w:type="paragraph" w:styleId="15">
    <w:name w:val="header"/>
    <w:basedOn w:val="1"/>
    <w:link w:val="38"/>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pPr>
      <w:tabs>
        <w:tab w:val="right" w:leader="dot" w:pos="8494"/>
      </w:tabs>
      <w:spacing w:afterLines="150" w:line="760" w:lineRule="exact"/>
      <w:jc w:val="center"/>
    </w:pPr>
    <w:rPr>
      <w:rFonts w:ascii="宋体" w:hAnsi="宋体"/>
      <w:b/>
      <w:sz w:val="30"/>
      <w:szCs w:val="30"/>
    </w:rPr>
  </w:style>
  <w:style w:type="paragraph" w:styleId="17">
    <w:name w:val="toc 2"/>
    <w:basedOn w:val="1"/>
    <w:next w:val="1"/>
    <w:semiHidden/>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annotation subject"/>
    <w:basedOn w:val="7"/>
    <w:next w:val="7"/>
    <w:link w:val="39"/>
    <w:unhideWhenUsed/>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22"/>
    <w:rPr>
      <w:b/>
      <w:bCs/>
    </w:rPr>
  </w:style>
  <w:style w:type="character" w:styleId="24">
    <w:name w:val="page number"/>
    <w:basedOn w:val="22"/>
    <w:qFormat/>
    <w:uiPriority w:val="0"/>
  </w:style>
  <w:style w:type="character" w:styleId="25">
    <w:name w:val="FollowedHyperlink"/>
    <w:qFormat/>
    <w:uiPriority w:val="0"/>
    <w:rPr>
      <w:color w:val="800080"/>
      <w:u w:val="single"/>
    </w:rPr>
  </w:style>
  <w:style w:type="character" w:styleId="26">
    <w:name w:val="Hyperlink"/>
    <w:qFormat/>
    <w:uiPriority w:val="0"/>
    <w:rPr>
      <w:color w:val="3366CC"/>
      <w:u w:val="none"/>
    </w:rPr>
  </w:style>
  <w:style w:type="character" w:customStyle="1" w:styleId="27">
    <w:name w:val="标题 1 Char"/>
    <w:link w:val="2"/>
    <w:qFormat/>
    <w:uiPriority w:val="0"/>
    <w:rPr>
      <w:rFonts w:ascii="黑体" w:hAnsi="黑体" w:eastAsia="黑体"/>
      <w:bCs/>
      <w:sz w:val="44"/>
      <w:szCs w:val="44"/>
    </w:rPr>
  </w:style>
  <w:style w:type="character" w:customStyle="1" w:styleId="28">
    <w:name w:val="标题 2 Char"/>
    <w:link w:val="3"/>
    <w:qFormat/>
    <w:uiPriority w:val="0"/>
    <w:rPr>
      <w:rFonts w:ascii="黑体" w:hAnsi="Arial" w:eastAsia="黑体"/>
      <w:bCs/>
      <w:sz w:val="36"/>
      <w:szCs w:val="36"/>
      <w:lang w:val="en-US" w:eastAsia="zh-CN" w:bidi="ar-SA"/>
    </w:rPr>
  </w:style>
  <w:style w:type="character" w:customStyle="1" w:styleId="29">
    <w:name w:val="标题 3 Char"/>
    <w:link w:val="4"/>
    <w:qFormat/>
    <w:uiPriority w:val="0"/>
    <w:rPr>
      <w:rFonts w:eastAsia="黑体"/>
      <w:bCs/>
      <w:kern w:val="2"/>
      <w:sz w:val="30"/>
      <w:szCs w:val="30"/>
      <w:lang w:val="en-US" w:eastAsia="zh-CN" w:bidi="ar-SA"/>
    </w:rPr>
  </w:style>
  <w:style w:type="character" w:customStyle="1" w:styleId="30">
    <w:name w:val="标题 4 Char"/>
    <w:link w:val="5"/>
    <w:qFormat/>
    <w:uiPriority w:val="0"/>
    <w:rPr>
      <w:rFonts w:ascii="Arial" w:hAnsi="Arial" w:eastAsia="黑体"/>
      <w:b/>
      <w:bCs/>
      <w:kern w:val="2"/>
      <w:sz w:val="28"/>
      <w:szCs w:val="28"/>
      <w:lang w:val="en-US" w:eastAsia="zh-CN" w:bidi="ar-SA"/>
    </w:rPr>
  </w:style>
  <w:style w:type="character" w:customStyle="1" w:styleId="31">
    <w:name w:val="批注文字 Char"/>
    <w:link w:val="7"/>
    <w:semiHidden/>
    <w:qFormat/>
    <w:uiPriority w:val="0"/>
    <w:rPr>
      <w:rFonts w:eastAsia="宋体"/>
      <w:kern w:val="2"/>
      <w:sz w:val="21"/>
      <w:szCs w:val="24"/>
      <w:lang w:val="en-US" w:eastAsia="zh-CN" w:bidi="ar-SA"/>
    </w:rPr>
  </w:style>
  <w:style w:type="character" w:customStyle="1" w:styleId="32">
    <w:name w:val="正文文本 Char"/>
    <w:link w:val="8"/>
    <w:qFormat/>
    <w:uiPriority w:val="0"/>
    <w:rPr>
      <w:rFonts w:eastAsia="宋体"/>
      <w:kern w:val="2"/>
      <w:sz w:val="28"/>
      <w:lang w:val="en-US" w:eastAsia="zh-CN" w:bidi="ar-SA"/>
    </w:rPr>
  </w:style>
  <w:style w:type="character" w:customStyle="1" w:styleId="33">
    <w:name w:val="正文文本缩进 Char"/>
    <w:link w:val="9"/>
    <w:qFormat/>
    <w:uiPriority w:val="0"/>
    <w:rPr>
      <w:rFonts w:eastAsia="宋体"/>
      <w:kern w:val="2"/>
      <w:sz w:val="28"/>
      <w:lang w:val="en-US" w:eastAsia="zh-CN" w:bidi="ar-SA"/>
    </w:rPr>
  </w:style>
  <w:style w:type="character" w:customStyle="1" w:styleId="34">
    <w:name w:val="纯文本 Char"/>
    <w:link w:val="11"/>
    <w:qFormat/>
    <w:uiPriority w:val="0"/>
    <w:rPr>
      <w:rFonts w:ascii="宋体" w:hAnsi="Courier New" w:eastAsia="宋体"/>
      <w:kern w:val="2"/>
      <w:sz w:val="21"/>
      <w:lang w:val="en-US" w:eastAsia="zh-CN" w:bidi="ar-SA"/>
    </w:rPr>
  </w:style>
  <w:style w:type="character" w:customStyle="1" w:styleId="35">
    <w:name w:val="日期 Char"/>
    <w:link w:val="12"/>
    <w:qFormat/>
    <w:uiPriority w:val="0"/>
    <w:rPr>
      <w:rFonts w:eastAsia="宋体"/>
      <w:kern w:val="2"/>
      <w:sz w:val="21"/>
      <w:szCs w:val="24"/>
      <w:lang w:val="en-US" w:eastAsia="zh-CN" w:bidi="ar-SA"/>
    </w:rPr>
  </w:style>
  <w:style w:type="character" w:customStyle="1" w:styleId="36">
    <w:name w:val="批注框文本 Char"/>
    <w:link w:val="13"/>
    <w:semiHidden/>
    <w:qFormat/>
    <w:uiPriority w:val="0"/>
    <w:rPr>
      <w:rFonts w:eastAsia="宋体"/>
      <w:kern w:val="2"/>
      <w:sz w:val="18"/>
      <w:szCs w:val="18"/>
      <w:lang w:val="en-US" w:eastAsia="zh-CN" w:bidi="ar-SA"/>
    </w:rPr>
  </w:style>
  <w:style w:type="character" w:customStyle="1" w:styleId="37">
    <w:name w:val="页脚 Char"/>
    <w:link w:val="14"/>
    <w:qFormat/>
    <w:uiPriority w:val="0"/>
    <w:rPr>
      <w:rFonts w:eastAsia="宋体"/>
      <w:kern w:val="2"/>
      <w:sz w:val="18"/>
      <w:szCs w:val="18"/>
      <w:lang w:val="en-US" w:eastAsia="zh-CN" w:bidi="ar-SA"/>
    </w:rPr>
  </w:style>
  <w:style w:type="character" w:customStyle="1" w:styleId="38">
    <w:name w:val="页眉 Char"/>
    <w:link w:val="15"/>
    <w:semiHidden/>
    <w:qFormat/>
    <w:uiPriority w:val="0"/>
    <w:rPr>
      <w:rFonts w:eastAsia="宋体"/>
      <w:kern w:val="2"/>
      <w:sz w:val="18"/>
      <w:szCs w:val="18"/>
      <w:lang w:val="en-US" w:eastAsia="zh-CN" w:bidi="ar-SA"/>
    </w:rPr>
  </w:style>
  <w:style w:type="character" w:customStyle="1" w:styleId="39">
    <w:name w:val="批注主题 Char"/>
    <w:link w:val="19"/>
    <w:semiHidden/>
    <w:qFormat/>
    <w:uiPriority w:val="0"/>
    <w:rPr>
      <w:rFonts w:eastAsia="宋体"/>
      <w:b/>
      <w:bCs/>
      <w:kern w:val="2"/>
      <w:sz w:val="21"/>
      <w:szCs w:val="24"/>
      <w:lang w:val="en-US" w:eastAsia="zh-CN" w:bidi="ar-SA"/>
    </w:rPr>
  </w:style>
  <w:style w:type="character" w:customStyle="1" w:styleId="40">
    <w:name w:val="style31"/>
    <w:qFormat/>
    <w:uiPriority w:val="0"/>
    <w:rPr>
      <w:color w:val="3366CC"/>
    </w:rPr>
  </w:style>
  <w:style w:type="character" w:customStyle="1" w:styleId="41">
    <w:name w:val="titlestyle372489094_661"/>
    <w:qFormat/>
    <w:uiPriority w:val="0"/>
    <w:rPr>
      <w:b/>
      <w:bCs/>
      <w:sz w:val="20"/>
      <w:szCs w:val="20"/>
    </w:rPr>
  </w:style>
  <w:style w:type="paragraph" w:styleId="42">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300</Words>
  <Characters>1711</Characters>
  <Lines>14</Lines>
  <Paragraphs>4</Paragraphs>
  <TotalTime>37</TotalTime>
  <ScaleCrop>false</ScaleCrop>
  <LinksUpToDate>false</LinksUpToDate>
  <CharactersWithSpaces>2007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2022-04-11T02:50:00Z</dcterms:created>
  <dc:creator>USER</dc:creator>
  <cp:lastModifiedBy>元宝麻麻</cp:lastModifiedBy>
  <cp:lastPrinted>2021-05-08T02:01:00Z</cp:lastPrinted>
  <dcterms:modified xsi:type="dcterms:W3CDTF">2022-04-21T08:05:21Z</dcterms:modified>
  <dc:title>学院职责</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367A76BAF5A4488682AFFECAD624CEC5</vt:lpwstr>
  </property>
</Properties>
</file>