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00" w:rsidRDefault="007702E4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</w:t>
      </w:r>
    </w:p>
    <w:p w:rsidR="00A90600" w:rsidRDefault="007702E4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《</w:t>
      </w:r>
      <w:r>
        <w:rPr>
          <w:rFonts w:ascii="Times New Roman" w:eastAsia="宋体" w:hAnsi="Times New Roman" w:cs="Times New Roman" w:hint="eastAsia"/>
          <w:b/>
          <w:bCs/>
          <w:sz w:val="36"/>
          <w:szCs w:val="40"/>
        </w:rPr>
        <w:t>管理学原理与微观经济学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》考试大纲</w:t>
      </w:r>
    </w:p>
    <w:p w:rsidR="00A90600" w:rsidRDefault="007702E4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（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2024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:rsidR="00A90600" w:rsidRDefault="00A90600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</w:p>
    <w:p w:rsidR="00A90600" w:rsidRDefault="007702E4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《管理学原理与微观经济学》考试内容涵盖管理学原理、微观经济学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门课程。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（一）管理学原理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要求考生能够掌握管理理论、管理基本职能等知识，具备管理者的基本素质和能力。具体包括：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掌握管理的基本概念和性质、管理者的角色和技能；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掌握管理理论发展脉络及其主要内容；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掌握管理基本职能及其理论和方法；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4.</w:t>
      </w:r>
      <w:r>
        <w:rPr>
          <w:rFonts w:ascii="Times New Roman" w:eastAsia="宋体" w:hAnsi="Times New Roman" w:cs="Times New Roman" w:hint="eastAsia"/>
          <w:sz w:val="28"/>
          <w:szCs w:val="32"/>
        </w:rPr>
        <w:t>运用管理学的基本思想、理论知识和方法分析解决实际问题。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（二）微观经济学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要求考生能够掌握</w:t>
      </w:r>
      <w:r>
        <w:rPr>
          <w:rFonts w:ascii="Times New Roman" w:eastAsia="宋体" w:hAnsi="Times New Roman" w:cs="Times New Roman" w:hint="eastAsia"/>
          <w:sz w:val="28"/>
          <w:szCs w:val="32"/>
        </w:rPr>
        <w:t>微观经济学</w:t>
      </w:r>
      <w:r>
        <w:rPr>
          <w:rFonts w:ascii="Times New Roman" w:eastAsia="宋体" w:hAnsi="Times New Roman" w:cs="Times New Roman"/>
          <w:sz w:val="28"/>
          <w:szCs w:val="32"/>
        </w:rPr>
        <w:t>的相关专业素质和基本能力。具体包括：</w:t>
      </w:r>
    </w:p>
    <w:p w:rsidR="00A90600" w:rsidRDefault="007702E4">
      <w:pPr>
        <w:numPr>
          <w:ilvl w:val="0"/>
          <w:numId w:val="1"/>
        </w:numPr>
        <w:ind w:firstLine="435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利用市场规律分析现实经济问题的素质。</w:t>
      </w:r>
    </w:p>
    <w:p w:rsidR="00A90600" w:rsidRDefault="007702E4">
      <w:pPr>
        <w:ind w:firstLine="435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2. </w:t>
      </w:r>
      <w:r>
        <w:rPr>
          <w:rFonts w:ascii="Times New Roman" w:eastAsia="宋体" w:hAnsi="Times New Roman" w:cs="Times New Roman"/>
          <w:sz w:val="28"/>
          <w:szCs w:val="32"/>
        </w:rPr>
        <w:t>运用</w:t>
      </w:r>
      <w:r>
        <w:rPr>
          <w:rFonts w:ascii="Times New Roman" w:eastAsia="宋体" w:hAnsi="Times New Roman" w:cs="Times New Roman" w:hint="eastAsia"/>
          <w:sz w:val="28"/>
          <w:szCs w:val="32"/>
        </w:rPr>
        <w:t>简单的数学模型和图示工具分析经济理论和经济现象的能力。</w:t>
      </w:r>
    </w:p>
    <w:p w:rsidR="00A90600" w:rsidRDefault="007702E4">
      <w:pPr>
        <w:ind w:firstLine="435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预判经济政策的现实影响的能力。</w:t>
      </w:r>
    </w:p>
    <w:p w:rsidR="00A90600" w:rsidRDefault="007702E4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lastRenderedPageBreak/>
        <w:t>Ⅱ.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本试卷满分为</w:t>
      </w:r>
      <w:r>
        <w:rPr>
          <w:rFonts w:ascii="Times New Roman" w:eastAsia="宋体" w:hAnsi="Times New Roman" w:cs="Times New Roman" w:hint="eastAsia"/>
          <w:sz w:val="28"/>
          <w:szCs w:val="32"/>
        </w:rPr>
        <w:t>150</w:t>
      </w:r>
      <w:r>
        <w:rPr>
          <w:rFonts w:ascii="Times New Roman" w:eastAsia="宋体" w:hAnsi="Times New Roman" w:cs="Times New Roman"/>
          <w:sz w:val="28"/>
          <w:szCs w:val="32"/>
        </w:rPr>
        <w:t>分，考试时间为</w:t>
      </w:r>
      <w:r>
        <w:rPr>
          <w:rFonts w:ascii="Times New Roman" w:eastAsia="宋体" w:hAnsi="Times New Roman" w:cs="Times New Roman" w:hint="eastAsia"/>
          <w:sz w:val="28"/>
          <w:szCs w:val="32"/>
        </w:rPr>
        <w:t>180</w:t>
      </w:r>
      <w:r>
        <w:rPr>
          <w:rFonts w:ascii="Times New Roman" w:eastAsia="宋体" w:hAnsi="Times New Roman" w:cs="Times New Roman"/>
          <w:sz w:val="28"/>
          <w:szCs w:val="32"/>
        </w:rPr>
        <w:t>分钟。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:rsidR="00A90600" w:rsidRDefault="007702E4">
      <w:pPr>
        <w:numPr>
          <w:ilvl w:val="0"/>
          <w:numId w:val="2"/>
        </w:num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试卷题型结构</w:t>
      </w:r>
    </w:p>
    <w:p w:rsidR="00A90600" w:rsidRDefault="007702E4">
      <w:pPr>
        <w:numPr>
          <w:ilvl w:val="0"/>
          <w:numId w:val="3"/>
        </w:num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管理学原理（</w:t>
      </w:r>
      <w:r>
        <w:rPr>
          <w:rFonts w:ascii="Times New Roman" w:eastAsia="宋体" w:hAnsi="Times New Roman" w:cs="Times New Roman" w:hint="eastAsia"/>
          <w:sz w:val="28"/>
          <w:szCs w:val="32"/>
        </w:rPr>
        <w:t>75</w:t>
      </w:r>
      <w:r>
        <w:rPr>
          <w:rFonts w:ascii="Times New Roman" w:eastAsia="宋体" w:hAnsi="Times New Roman" w:cs="Times New Roman" w:hint="eastAsia"/>
          <w:sz w:val="28"/>
          <w:szCs w:val="32"/>
        </w:rPr>
        <w:t>分）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名词解释，共</w:t>
      </w:r>
      <w:r>
        <w:rPr>
          <w:rFonts w:ascii="Times New Roman" w:eastAsia="宋体" w:hAnsi="Times New Roman" w:cs="Times New Roman" w:hint="eastAsia"/>
          <w:sz w:val="28"/>
          <w:szCs w:val="32"/>
        </w:rPr>
        <w:t>15</w:t>
      </w:r>
      <w:r>
        <w:rPr>
          <w:rFonts w:ascii="Times New Roman" w:eastAsia="宋体" w:hAnsi="Times New Roman" w:cs="Times New Roman" w:hint="eastAsia"/>
          <w:sz w:val="28"/>
          <w:szCs w:val="32"/>
        </w:rPr>
        <w:t>分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选择题，共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15</w:t>
      </w:r>
      <w:r>
        <w:rPr>
          <w:rFonts w:ascii="Times New Roman" w:eastAsia="宋体" w:hAnsi="Times New Roman" w:cs="Times New Roman" w:hint="eastAsia"/>
          <w:sz w:val="28"/>
          <w:szCs w:val="32"/>
        </w:rPr>
        <w:t>分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>简答题，共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20</w:t>
      </w:r>
      <w:r>
        <w:rPr>
          <w:rFonts w:ascii="Times New Roman" w:eastAsia="宋体" w:hAnsi="Times New Roman" w:cs="Times New Roman" w:hint="eastAsia"/>
          <w:sz w:val="28"/>
          <w:szCs w:val="32"/>
        </w:rPr>
        <w:t>分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4.</w:t>
      </w:r>
      <w:r>
        <w:rPr>
          <w:rFonts w:ascii="Times New Roman" w:eastAsia="宋体" w:hAnsi="Times New Roman" w:cs="Times New Roman" w:hint="eastAsia"/>
          <w:sz w:val="28"/>
          <w:szCs w:val="32"/>
        </w:rPr>
        <w:t>论述题，共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10</w:t>
      </w:r>
      <w:r>
        <w:rPr>
          <w:rFonts w:ascii="Times New Roman" w:eastAsia="宋体" w:hAnsi="Times New Roman" w:cs="Times New Roman" w:hint="eastAsia"/>
          <w:sz w:val="28"/>
          <w:szCs w:val="32"/>
        </w:rPr>
        <w:t>分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5.</w:t>
      </w:r>
      <w:r>
        <w:rPr>
          <w:rFonts w:ascii="Times New Roman" w:eastAsia="宋体" w:hAnsi="Times New Roman" w:cs="Times New Roman" w:hint="eastAsia"/>
          <w:sz w:val="28"/>
          <w:szCs w:val="32"/>
        </w:rPr>
        <w:t>案例分析题，共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15</w:t>
      </w:r>
      <w:r>
        <w:rPr>
          <w:rFonts w:ascii="Times New Roman" w:eastAsia="宋体" w:hAnsi="Times New Roman" w:cs="Times New Roman" w:hint="eastAsia"/>
          <w:sz w:val="28"/>
          <w:szCs w:val="32"/>
        </w:rPr>
        <w:t>分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（二）微观经济学（</w:t>
      </w:r>
      <w:r>
        <w:rPr>
          <w:rFonts w:ascii="Times New Roman" w:eastAsia="宋体" w:hAnsi="Times New Roman" w:cs="Times New Roman" w:hint="eastAsia"/>
          <w:sz w:val="28"/>
          <w:szCs w:val="32"/>
        </w:rPr>
        <w:t>75</w:t>
      </w:r>
      <w:r>
        <w:rPr>
          <w:rFonts w:ascii="Times New Roman" w:eastAsia="宋体" w:hAnsi="Times New Roman" w:cs="Times New Roman" w:hint="eastAsia"/>
          <w:sz w:val="28"/>
          <w:szCs w:val="32"/>
        </w:rPr>
        <w:t>分）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1.</w:t>
      </w:r>
      <w:r>
        <w:rPr>
          <w:rFonts w:ascii="Times New Roman" w:eastAsia="宋体" w:hAnsi="Times New Roman" w:cs="Times New Roman"/>
          <w:sz w:val="28"/>
          <w:szCs w:val="32"/>
        </w:rPr>
        <w:t>名词解释，共</w:t>
      </w:r>
      <w:r>
        <w:rPr>
          <w:rFonts w:ascii="Times New Roman" w:eastAsia="宋体" w:hAnsi="Times New Roman" w:cs="Times New Roman" w:hint="eastAsia"/>
          <w:sz w:val="28"/>
          <w:szCs w:val="32"/>
        </w:rPr>
        <w:t>15</w:t>
      </w:r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判断解析</w:t>
      </w:r>
      <w:r>
        <w:rPr>
          <w:rFonts w:ascii="Times New Roman" w:eastAsia="宋体" w:hAnsi="Times New Roman" w:cs="Times New Roman"/>
          <w:sz w:val="28"/>
          <w:szCs w:val="32"/>
        </w:rPr>
        <w:t>题</w:t>
      </w:r>
      <w:r>
        <w:rPr>
          <w:rFonts w:ascii="Times New Roman" w:eastAsia="宋体" w:hAnsi="Times New Roman" w:cs="Times New Roman" w:hint="eastAsia"/>
          <w:sz w:val="28"/>
          <w:szCs w:val="32"/>
        </w:rPr>
        <w:t>，共</w:t>
      </w:r>
      <w:r w:rsidR="00A40DA7"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="00A40DA7">
        <w:rPr>
          <w:rFonts w:ascii="Times New Roman" w:eastAsia="宋体" w:hAnsi="Times New Roman" w:cs="Times New Roman"/>
          <w:sz w:val="28"/>
          <w:szCs w:val="32"/>
        </w:rPr>
        <w:t>0</w:t>
      </w:r>
      <w:r>
        <w:rPr>
          <w:rFonts w:ascii="Times New Roman" w:eastAsia="宋体" w:hAnsi="Times New Roman" w:cs="Times New Roman" w:hint="eastAsia"/>
          <w:sz w:val="28"/>
          <w:szCs w:val="32"/>
        </w:rPr>
        <w:t>分。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>简答题，共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25</w:t>
      </w:r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A90600" w:rsidRDefault="007702E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计算</w:t>
      </w:r>
      <w:r>
        <w:rPr>
          <w:rFonts w:ascii="Times New Roman" w:eastAsia="宋体" w:hAnsi="Times New Roman" w:cs="Times New Roman"/>
          <w:sz w:val="28"/>
          <w:szCs w:val="32"/>
        </w:rPr>
        <w:t>题，共</w:t>
      </w:r>
      <w:r w:rsidR="00A40DA7">
        <w:rPr>
          <w:rFonts w:ascii="Times New Roman" w:eastAsia="宋体" w:hAnsi="Times New Roman" w:cs="Times New Roman" w:hint="eastAsia"/>
          <w:sz w:val="28"/>
          <w:szCs w:val="32"/>
        </w:rPr>
        <w:t>15</w:t>
      </w:r>
      <w:bookmarkStart w:id="0" w:name="_GoBack"/>
      <w:bookmarkEnd w:id="0"/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A90600" w:rsidRDefault="007702E4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:rsidR="00A90600" w:rsidRDefault="007702E4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第一部分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管理学原理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一、总论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（一）管理学导论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管理的内涵与本质；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管理者角色与技能；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>管理的职能、特征，基本原理与方法；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管理活动的时代背景。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（二）管理理论的历史演变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古典管理理论（科学管理理论、一般管理理论、科层组织理论）；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行为科学理论；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>现代管理思想。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二、决策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（一）决策</w:t>
      </w:r>
    </w:p>
    <w:p w:rsidR="00A90600" w:rsidRDefault="007702E4">
      <w:pPr>
        <w:numPr>
          <w:ilvl w:val="0"/>
          <w:numId w:val="4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决策的含义、类型与特征；</w:t>
      </w:r>
    </w:p>
    <w:p w:rsidR="00A90600" w:rsidRDefault="007702E4">
      <w:pPr>
        <w:numPr>
          <w:ilvl w:val="0"/>
          <w:numId w:val="4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决策的过程及影响因素；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环境分析与决策方法。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（二）计划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</w:p>
    <w:p w:rsidR="00A90600" w:rsidRDefault="007702E4">
      <w:pPr>
        <w:numPr>
          <w:ilvl w:val="0"/>
          <w:numId w:val="5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计划的重要性及含义；</w:t>
      </w:r>
    </w:p>
    <w:p w:rsidR="00A90600" w:rsidRDefault="007702E4">
      <w:pPr>
        <w:numPr>
          <w:ilvl w:val="0"/>
          <w:numId w:val="5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计划的基本原理；</w:t>
      </w:r>
    </w:p>
    <w:p w:rsidR="00A90600" w:rsidRDefault="007702E4">
      <w:pPr>
        <w:numPr>
          <w:ilvl w:val="0"/>
          <w:numId w:val="5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计划程序及方法；</w:t>
      </w:r>
    </w:p>
    <w:p w:rsidR="00A90600" w:rsidRDefault="007702E4">
      <w:pPr>
        <w:numPr>
          <w:ilvl w:val="0"/>
          <w:numId w:val="5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目标管理。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三、组织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组织与组织结构的含义；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组织设计的原则及影响因素；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>组织结构；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4.</w:t>
      </w:r>
      <w:r>
        <w:rPr>
          <w:rFonts w:ascii="Times New Roman" w:eastAsia="宋体" w:hAnsi="Times New Roman" w:cs="Times New Roman" w:hint="eastAsia"/>
          <w:sz w:val="28"/>
          <w:szCs w:val="32"/>
        </w:rPr>
        <w:t>组织整合；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5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人员配备。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四、领导</w:t>
      </w:r>
    </w:p>
    <w:p w:rsidR="00A90600" w:rsidRDefault="007702E4">
      <w:pPr>
        <w:numPr>
          <w:ilvl w:val="0"/>
          <w:numId w:val="6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领导的内涵及领导权力来源；</w:t>
      </w:r>
    </w:p>
    <w:p w:rsidR="00A90600" w:rsidRDefault="007702E4">
      <w:pPr>
        <w:numPr>
          <w:ilvl w:val="0"/>
          <w:numId w:val="6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领导理论；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</w:p>
    <w:p w:rsidR="00A90600" w:rsidRDefault="007702E4">
      <w:pPr>
        <w:numPr>
          <w:ilvl w:val="0"/>
          <w:numId w:val="6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激励的基础；</w:t>
      </w:r>
    </w:p>
    <w:p w:rsidR="00A90600" w:rsidRDefault="007702E4">
      <w:pPr>
        <w:numPr>
          <w:ilvl w:val="0"/>
          <w:numId w:val="6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激励理论与方法；</w:t>
      </w:r>
    </w:p>
    <w:p w:rsidR="00A90600" w:rsidRDefault="007702E4">
      <w:pPr>
        <w:numPr>
          <w:ilvl w:val="0"/>
          <w:numId w:val="6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沟通的含义、过程与类型；</w:t>
      </w:r>
    </w:p>
    <w:p w:rsidR="00A90600" w:rsidRDefault="007702E4">
      <w:pPr>
        <w:numPr>
          <w:ilvl w:val="0"/>
          <w:numId w:val="6"/>
        </w:num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沟通障碍及其克服。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五、控制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控制的内涵与原则；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控制的类型；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>控制的过程；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六、创新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创新的内涵与类型；</w:t>
      </w:r>
    </w:p>
    <w:p w:rsidR="00A90600" w:rsidRDefault="007702E4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创新过程及其管理。</w:t>
      </w:r>
    </w:p>
    <w:p w:rsidR="00A90600" w:rsidRDefault="00A90600">
      <w:pPr>
        <w:rPr>
          <w:rFonts w:ascii="Times New Roman" w:eastAsia="宋体" w:hAnsi="Times New Roman" w:cs="Times New Roman"/>
          <w:sz w:val="28"/>
          <w:szCs w:val="32"/>
        </w:rPr>
      </w:pPr>
    </w:p>
    <w:p w:rsidR="00A90600" w:rsidRDefault="007702E4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第二部分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微观经济学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一、导论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1.西方经济学的界定。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2.稀缺性。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3.西方经济学的具体研究方法。</w:t>
      </w:r>
    </w:p>
    <w:p w:rsidR="00A90600" w:rsidRDefault="007702E4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二、需求、供给和均衡价格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1.需求的概念、需求规律、影响需求量的其它因素、影响需求量的变动和需求的变动、从单个消费者的需求到市场需求。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2.供给的概念、供给规律、影响供给量的其它因素、影响供给量的变动和供给的变动、从单个生产者的供给到市场供给。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3.均衡的含义、均衡价格和均衡数量、市场均衡的变动。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4.弹性的概念、需求的价格弹性、其他需求弹性、供给弹性。</w:t>
      </w:r>
    </w:p>
    <w:p w:rsidR="00A90600" w:rsidRDefault="007702E4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5.支持价格和限制价格、税收效应分析、弹性和收入。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三、消费者选择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1.效用和欲望、总效用和边际效用递减规律、效用最大化、消费者的需求曲线、消费者剩余。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2.偏好和选择、无差异曲线及其特点、边际替代率及其递减规律。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3.预算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约束线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的含义、预算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约束线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的变动。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4.消费者均衡的决定、收入变动对消费者均衡的影响、价格变动对消费者均衡的影响。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5.替代效应和收入效应的含义、正常品的替代效应和收入效应、低档品的替代效应和收入效应、吉芬商品的替代效应和收入效应、消费者需求曲线的形状。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四、企业的生产和成本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1.企业的类型、企业利润最大化目标。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2.生产和生产函数、短期和长期、生产函数的例子。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3.总产量、平均产量和边际产量及其相互之间的关系、边际报酬递减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规律、生产的三个阶段。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4.等产量曲线及其性质、边际技术替代率及其递减规律、等成本线、生产要素最优组合、生产扩展线。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5.经济学中的成本、短期成本的概念、短期成本曲线及其相互之间的关系。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6.长期成本的概念、长期总成本曲线、产品平均成本曲线、规模经济和长期平均成本曲线的形状、长期边际成本曲线。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五、完全竞争市场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1.企业收益和市场结构、划分市场结构的依据、企业利润最大化原则。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2.完全竞争企业面临的需求曲线、完全竞争企业的收益曲线。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3.利润最大化产量的决定、利润最大化和盈亏、亏损时的决策、企业和市场的短期供给曲线。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4.企业规模调整、行业规模调整、长期均衡、长期供给曲线。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六、不完全竞争市场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1.垄断的含义及其原因、垄断企业的需求曲线和收益曲线、垄断企业的短期均衡和长期均衡、价格歧视。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2.垄断竞争的特点、垄断竞争企业的需求曲线和收益曲线、垄断竞争企业的短期均衡和长期均衡。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3.寡头的含义及其特征、古诺模型、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斯威齐模型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4.不同市场静态效率和动态效率比较。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七、生产要素市场和收入分配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1.完全竞争企业的要素使用原则、完全竞争企业的要素需求曲线、完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全竞争市场的要素需求曲线。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2.要素供给问题、要素供给原则、预算线-无差异曲线分析、要素供给曲线。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3.劳动供给和闲暇需求、劳动供给均衡、劳动供给曲线、替代效应和收入效应、劳动市场的供求均衡和工资的决定。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4.土地的供给曲线、使用土地的价格和地租。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5.资本和利息的含义、资本的供给、资本市场的均衡。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6.产品卖方垄断条件下的要素价格决定、要素买方垄断条件下的要素价格决定。 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八、一般均衡和效率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1.局部均衡和一般均衡的概念。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2.帕累托最优概念、交换效率、生产效率、交换和生产的帕累托最优条件。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3.完全竞争市场的一般均衡状态、均衡状态和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帕累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托最优条件。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九、市场失灵和微观经济政策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1.垄断和低效率、寻租活动分析、对垄断的监管。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2.公共物品和市场失灵、公共资源。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3.外部性影响及其分类、外部性影响和资源配置低效率、就正外部性影响的政策、外部性影响和环境保护。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4.信息不完全和市场失灵、次品市场和逆向选择、保险市场和道德风险、纠正信息不完全的政策。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5.收入分配不平等的度量、收入再分配、公平和效率。</w:t>
      </w:r>
    </w:p>
    <w:p w:rsidR="00A90600" w:rsidRDefault="007702E4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lastRenderedPageBreak/>
        <w:t>IV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参考书目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.《管理学》编写组，管理学（马克思主义理论研究和建设工程重点教材）［M］.高等教育出版社，2019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.斯蒂芬·P ·罗宾斯.管理学第13版［M］.中国人民大学出版社，2017</w:t>
      </w:r>
    </w:p>
    <w:p w:rsidR="00A90600" w:rsidRDefault="007702E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3.《西方经济学》编写组编《西方经济学（上册）》，高等教育出版社，2012</w:t>
      </w:r>
    </w:p>
    <w:p w:rsidR="00A90600" w:rsidRDefault="00A90600">
      <w:pPr>
        <w:rPr>
          <w:rFonts w:ascii="Times New Roman" w:eastAsia="宋体" w:hAnsi="Times New Roman" w:cs="Times New Roman"/>
          <w:sz w:val="28"/>
          <w:szCs w:val="32"/>
        </w:rPr>
      </w:pPr>
    </w:p>
    <w:p w:rsidR="00A90600" w:rsidRDefault="00A90600">
      <w:pPr>
        <w:rPr>
          <w:rFonts w:ascii="Times New Roman" w:eastAsia="宋体" w:hAnsi="Times New Roman" w:cs="Times New Roman"/>
          <w:sz w:val="28"/>
          <w:szCs w:val="32"/>
        </w:rPr>
      </w:pPr>
    </w:p>
    <w:p w:rsidR="00A90600" w:rsidRDefault="00A90600">
      <w:pPr>
        <w:rPr>
          <w:rFonts w:ascii="Times New Roman" w:eastAsia="宋体" w:hAnsi="Times New Roman" w:cs="Times New Roman"/>
          <w:sz w:val="28"/>
          <w:szCs w:val="32"/>
        </w:rPr>
      </w:pPr>
    </w:p>
    <w:sectPr w:rsidR="00A9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2843EF"/>
    <w:multiLevelType w:val="singleLevel"/>
    <w:tmpl w:val="932843E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E500D7D"/>
    <w:multiLevelType w:val="singleLevel"/>
    <w:tmpl w:val="EE500D7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F476D36"/>
    <w:multiLevelType w:val="singleLevel"/>
    <w:tmpl w:val="5F476D36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F476E8A"/>
    <w:multiLevelType w:val="singleLevel"/>
    <w:tmpl w:val="5F476E8A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F477156"/>
    <w:multiLevelType w:val="singleLevel"/>
    <w:tmpl w:val="5F477156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7C4DFEDB"/>
    <w:multiLevelType w:val="singleLevel"/>
    <w:tmpl w:val="7C4DFEDB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5M2RjYjUzMWUwMjc4MDc3NmJmMzc0ZTE2ZGVhNDUifQ=="/>
  </w:docVars>
  <w:rsids>
    <w:rsidRoot w:val="00987D92"/>
    <w:rsid w:val="00024162"/>
    <w:rsid w:val="000E1610"/>
    <w:rsid w:val="00117B10"/>
    <w:rsid w:val="001221E5"/>
    <w:rsid w:val="001755ED"/>
    <w:rsid w:val="0026432B"/>
    <w:rsid w:val="00337D59"/>
    <w:rsid w:val="00502F1A"/>
    <w:rsid w:val="00552800"/>
    <w:rsid w:val="00580858"/>
    <w:rsid w:val="00605DDE"/>
    <w:rsid w:val="007702E4"/>
    <w:rsid w:val="007A7A20"/>
    <w:rsid w:val="0085226D"/>
    <w:rsid w:val="00887B8D"/>
    <w:rsid w:val="00894F10"/>
    <w:rsid w:val="00966C26"/>
    <w:rsid w:val="00987D92"/>
    <w:rsid w:val="00A13528"/>
    <w:rsid w:val="00A40DA7"/>
    <w:rsid w:val="00A90600"/>
    <w:rsid w:val="00AC096D"/>
    <w:rsid w:val="00B97094"/>
    <w:rsid w:val="00DC1C10"/>
    <w:rsid w:val="00F44EA5"/>
    <w:rsid w:val="00FF0714"/>
    <w:rsid w:val="1FC717AE"/>
    <w:rsid w:val="2E6C4A9A"/>
    <w:rsid w:val="4C70447E"/>
    <w:rsid w:val="5814215F"/>
    <w:rsid w:val="60E33972"/>
    <w:rsid w:val="701F1B8E"/>
    <w:rsid w:val="792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C3255"/>
  <w15:docId w15:val="{9EA22630-760A-4F3F-ABFE-E333940A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家畅 朱</dc:creator>
  <cp:lastModifiedBy>guj</cp:lastModifiedBy>
  <cp:revision>15</cp:revision>
  <dcterms:created xsi:type="dcterms:W3CDTF">2020-08-26T01:34:00Z</dcterms:created>
  <dcterms:modified xsi:type="dcterms:W3CDTF">2024-08-26T10:12:00Z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BFC0362D0049438D82FD7C658447413A_13</vt:lpwstr>
  </property>
</Properties>
</file>